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3E" w:rsidRDefault="002C593E"/>
    <w:p w:rsidR="00D05632" w:rsidRDefault="00D96A8E">
      <w:r>
        <w:t>ethiopiaAVgrowthratespaperdraft4</w:t>
      </w:r>
      <w:r w:rsidR="005F4169">
        <w:t>14</w:t>
      </w:r>
    </w:p>
    <w:p w:rsidR="009E50DE" w:rsidRDefault="00A7676B" w:rsidP="00A7676B">
      <w:r>
        <w:t>July 12, 2014</w:t>
      </w:r>
    </w:p>
    <w:p w:rsidR="00413552" w:rsidRDefault="00413552" w:rsidP="009E50DE">
      <w:pPr>
        <w:jc w:val="center"/>
      </w:pPr>
    </w:p>
    <w:p w:rsidR="00D43DFB" w:rsidRDefault="00D43DFB" w:rsidP="009E50DE">
      <w:pPr>
        <w:jc w:val="center"/>
      </w:pPr>
    </w:p>
    <w:p w:rsidR="00D43DFB" w:rsidRDefault="00D43DFB" w:rsidP="009E50DE">
      <w:pPr>
        <w:jc w:val="center"/>
      </w:pPr>
    </w:p>
    <w:p w:rsidR="00D43DFB" w:rsidRDefault="00D43DFB" w:rsidP="0039781E"/>
    <w:p w:rsidR="00D43DFB" w:rsidRDefault="00D43DFB" w:rsidP="005A2FE6"/>
    <w:p w:rsidR="00D43DFB" w:rsidRDefault="005A2FE6" w:rsidP="005A2FE6">
      <w:pPr>
        <w:jc w:val="center"/>
      </w:pPr>
      <w:r>
        <w:t>Rapid Cereals Production Growth in Ethiopia:</w:t>
      </w:r>
    </w:p>
    <w:p w:rsidR="00D43DFB" w:rsidRDefault="005A2FE6" w:rsidP="005A2FE6">
      <w:pPr>
        <w:tabs>
          <w:tab w:val="center" w:pos="4680"/>
          <w:tab w:val="left" w:pos="8017"/>
        </w:tabs>
      </w:pPr>
      <w:r>
        <w:tab/>
        <w:t>How Rapid, How Achieved, Can it Continue, What Impact?</w:t>
      </w:r>
      <w:r>
        <w:tab/>
      </w:r>
    </w:p>
    <w:p w:rsidR="009E50DE" w:rsidRDefault="009E50DE" w:rsidP="009E50DE">
      <w:pPr>
        <w:jc w:val="center"/>
      </w:pPr>
      <w:r>
        <w:t>John W. Mellor</w:t>
      </w:r>
    </w:p>
    <w:p w:rsidR="005A2FE6" w:rsidRDefault="005A2FE6" w:rsidP="009E50DE">
      <w:pPr>
        <w:jc w:val="center"/>
      </w:pPr>
      <w:r>
        <w:t>Cornell University</w:t>
      </w:r>
    </w:p>
    <w:p w:rsidR="005A2FE6" w:rsidRDefault="005A2FE6" w:rsidP="009E50DE">
      <w:pPr>
        <w:jc w:val="center"/>
      </w:pPr>
    </w:p>
    <w:p w:rsidR="005A2FE6" w:rsidRDefault="005A2FE6" w:rsidP="009E50DE">
      <w:pPr>
        <w:jc w:val="center"/>
      </w:pPr>
    </w:p>
    <w:p w:rsidR="005A2FE6" w:rsidRPr="00D17D26" w:rsidRDefault="00D17D26" w:rsidP="009E50DE">
      <w:pPr>
        <w:jc w:val="center"/>
        <w:rPr>
          <w:b/>
          <w:u w:val="single"/>
        </w:rPr>
      </w:pPr>
      <w:bookmarkStart w:id="0" w:name="_GoBack"/>
      <w:r w:rsidRPr="00D17D26">
        <w:rPr>
          <w:b/>
          <w:u w:val="single"/>
        </w:rPr>
        <w:t>(Please note –the tables and figures are at the end of the paper)</w:t>
      </w:r>
    </w:p>
    <w:bookmarkEnd w:id="0"/>
    <w:p w:rsidR="005A2FE6" w:rsidRDefault="005A2FE6" w:rsidP="009E50DE">
      <w:pPr>
        <w:jc w:val="center"/>
      </w:pPr>
    </w:p>
    <w:p w:rsidR="005A2FE6" w:rsidRDefault="005A2FE6" w:rsidP="009E50DE">
      <w:pPr>
        <w:jc w:val="center"/>
      </w:pPr>
    </w:p>
    <w:p w:rsidR="005A2FE6" w:rsidRDefault="005A2FE6"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39781E" w:rsidRDefault="0039781E" w:rsidP="009E50DE">
      <w:pPr>
        <w:jc w:val="center"/>
      </w:pPr>
    </w:p>
    <w:p w:rsidR="005A2FE6" w:rsidRDefault="005A2FE6" w:rsidP="005A2FE6">
      <w:pPr>
        <w:jc w:val="center"/>
      </w:pPr>
      <w:r>
        <w:t>Rapid Cereals Production Growth in Ethiopia:</w:t>
      </w:r>
    </w:p>
    <w:p w:rsidR="005A2FE6" w:rsidRDefault="005A2FE6" w:rsidP="005A2FE6">
      <w:pPr>
        <w:tabs>
          <w:tab w:val="center" w:pos="4680"/>
          <w:tab w:val="left" w:pos="8017"/>
        </w:tabs>
      </w:pPr>
      <w:r>
        <w:tab/>
        <w:t>How Rapid, How Achieved, Can it Continue, What Impact?</w:t>
      </w:r>
      <w:r>
        <w:tab/>
      </w:r>
    </w:p>
    <w:p w:rsidR="005A2FE6" w:rsidRDefault="005A2FE6" w:rsidP="009E50DE">
      <w:pPr>
        <w:jc w:val="center"/>
      </w:pPr>
    </w:p>
    <w:p w:rsidR="005A2FE6" w:rsidRPr="00BC31EC" w:rsidRDefault="005A2FE6" w:rsidP="009E50DE">
      <w:pPr>
        <w:jc w:val="center"/>
      </w:pPr>
    </w:p>
    <w:p w:rsidR="007E473A" w:rsidRPr="005A2FE6" w:rsidRDefault="007E473A" w:rsidP="005B21A4">
      <w:pPr>
        <w:spacing w:line="480" w:lineRule="auto"/>
        <w:jc w:val="center"/>
      </w:pPr>
      <w:r w:rsidRPr="005A2FE6">
        <w:t>Abstract</w:t>
      </w:r>
    </w:p>
    <w:p w:rsidR="00413552" w:rsidRDefault="00A46438" w:rsidP="005B21A4">
      <w:pPr>
        <w:spacing w:line="480" w:lineRule="auto"/>
      </w:pPr>
      <w:r w:rsidRPr="00A46438">
        <w:t xml:space="preserve">The </w:t>
      </w:r>
      <w:r w:rsidR="00504311" w:rsidRPr="00A46438">
        <w:t>almost</w:t>
      </w:r>
      <w:r w:rsidRPr="00A46438">
        <w:t xml:space="preserve"> </w:t>
      </w:r>
      <w:r w:rsidR="00504311" w:rsidRPr="00A46438">
        <w:t>universally</w:t>
      </w:r>
      <w:r w:rsidRPr="00A46438">
        <w:t xml:space="preserve"> poor </w:t>
      </w:r>
      <w:r>
        <w:t>record for</w:t>
      </w:r>
      <w:r w:rsidRPr="00A46438">
        <w:t xml:space="preserve"> </w:t>
      </w:r>
      <w:r w:rsidR="00504311" w:rsidRPr="00A46438">
        <w:t>agricultural</w:t>
      </w:r>
      <w:r w:rsidRPr="00A46438">
        <w:t xml:space="preserve"> </w:t>
      </w:r>
      <w:r w:rsidR="00504311" w:rsidRPr="00A46438">
        <w:t>growth in</w:t>
      </w:r>
      <w:r w:rsidRPr="00A46438">
        <w:t xml:space="preserve"> African countries has</w:t>
      </w:r>
      <w:r>
        <w:t xml:space="preserve"> led to pessimism about the </w:t>
      </w:r>
      <w:r w:rsidR="00504311">
        <w:t>potential</w:t>
      </w:r>
      <w:r>
        <w:t xml:space="preserve"> of </w:t>
      </w:r>
      <w:r w:rsidR="00504311">
        <w:t>the</w:t>
      </w:r>
      <w:r>
        <w:t xml:space="preserve"> sector and argument for emphasizing </w:t>
      </w:r>
      <w:r w:rsidR="007A692A">
        <w:t>l</w:t>
      </w:r>
      <w:r w:rsidR="00504311">
        <w:t>ar</w:t>
      </w:r>
      <w:r w:rsidR="007A692A">
        <w:t>g</w:t>
      </w:r>
      <w:r w:rsidR="00504311">
        <w:t>e</w:t>
      </w:r>
      <w:r>
        <w:t xml:space="preserve"> scale farms if </w:t>
      </w:r>
      <w:r w:rsidR="007A692A">
        <w:t xml:space="preserve">investment is to be made in </w:t>
      </w:r>
      <w:r w:rsidR="00504311">
        <w:t>agriculture</w:t>
      </w:r>
      <w:r w:rsidR="007A692A">
        <w:t xml:space="preserve"> </w:t>
      </w:r>
      <w:r>
        <w:t>(</w:t>
      </w:r>
      <w:r w:rsidR="00504311">
        <w:t>e.g.</w:t>
      </w:r>
      <w:r>
        <w:t xml:space="preserve"> </w:t>
      </w:r>
      <w:proofErr w:type="spellStart"/>
      <w:r>
        <w:t>Stevan</w:t>
      </w:r>
      <w:proofErr w:type="spellEnd"/>
      <w:r>
        <w:t xml:space="preserve"> </w:t>
      </w:r>
      <w:proofErr w:type="spellStart"/>
      <w:r>
        <w:t>Dercon</w:t>
      </w:r>
      <w:proofErr w:type="spellEnd"/>
      <w:r>
        <w:t>, Paul Collier</w:t>
      </w:r>
      <w:r w:rsidR="0044621B">
        <w:t xml:space="preserve"> </w:t>
      </w:r>
      <w:r w:rsidR="004A53BF">
        <w:t>2014.</w:t>
      </w:r>
      <w:r>
        <w:t xml:space="preserve">) </w:t>
      </w:r>
    </w:p>
    <w:p w:rsidR="0039781E" w:rsidRDefault="00A46438" w:rsidP="005B21A4">
      <w:pPr>
        <w:spacing w:line="480" w:lineRule="auto"/>
      </w:pPr>
      <w:r>
        <w:t xml:space="preserve">Prime </w:t>
      </w:r>
      <w:r w:rsidR="00504311">
        <w:t>Minister</w:t>
      </w:r>
      <w:r w:rsidR="00DC5065">
        <w:t xml:space="preserve"> </w:t>
      </w:r>
      <w:proofErr w:type="spellStart"/>
      <w:r w:rsidR="007A692A">
        <w:t>Meles</w:t>
      </w:r>
      <w:proofErr w:type="spellEnd"/>
      <w:r>
        <w:t xml:space="preserve"> set a visio</w:t>
      </w:r>
      <w:r w:rsidR="00DC5065">
        <w:t xml:space="preserve">n </w:t>
      </w:r>
      <w:r>
        <w:t xml:space="preserve">in </w:t>
      </w:r>
      <w:r w:rsidR="007E473A">
        <w:t>2000 for Ethiopia</w:t>
      </w:r>
      <w:r w:rsidR="00DC5065">
        <w:t xml:space="preserve"> </w:t>
      </w:r>
      <w:r w:rsidR="007E473A">
        <w:t xml:space="preserve">to </w:t>
      </w:r>
      <w:r>
        <w:t>re</w:t>
      </w:r>
      <w:r w:rsidR="007E473A">
        <w:t>ach</w:t>
      </w:r>
      <w:r w:rsidR="00DC5065">
        <w:t xml:space="preserve"> middle </w:t>
      </w:r>
      <w:r w:rsidR="00504311">
        <w:t>income</w:t>
      </w:r>
      <w:r w:rsidR="00DC5065">
        <w:t xml:space="preserve"> </w:t>
      </w:r>
      <w:r w:rsidR="00504311">
        <w:t>status</w:t>
      </w:r>
      <w:r w:rsidR="007A692A">
        <w:t xml:space="preserve"> i</w:t>
      </w:r>
      <w:r w:rsidR="007E473A">
        <w:t>n 25 years. The</w:t>
      </w:r>
      <w:r w:rsidR="00DC5065">
        <w:t xml:space="preserve"> </w:t>
      </w:r>
      <w:r w:rsidR="007E473A">
        <w:t>strategy was</w:t>
      </w:r>
      <w:r w:rsidR="00504311">
        <w:t xml:space="preserve"> Agricultural</w:t>
      </w:r>
      <w:r w:rsidR="00DC5065">
        <w:t xml:space="preserve"> </w:t>
      </w:r>
      <w:r w:rsidR="00504311">
        <w:t>Development</w:t>
      </w:r>
      <w:r w:rsidR="00DC5065">
        <w:t xml:space="preserve"> Led </w:t>
      </w:r>
      <w:r w:rsidR="00504311">
        <w:t>Industrialization</w:t>
      </w:r>
      <w:r w:rsidR="007E473A">
        <w:t xml:space="preserve"> (ADLI.) That</w:t>
      </w:r>
      <w:r w:rsidR="00DC5065">
        <w:t xml:space="preserve"> </w:t>
      </w:r>
      <w:r w:rsidR="00504311">
        <w:t>strategy</w:t>
      </w:r>
      <w:r w:rsidR="00DC5065">
        <w:t xml:space="preserve"> focused </w:t>
      </w:r>
      <w:r w:rsidR="00504311">
        <w:t>initially</w:t>
      </w:r>
      <w:r w:rsidR="00DC5065">
        <w:t xml:space="preserve"> on cereals </w:t>
      </w:r>
      <w:r w:rsidR="00504311">
        <w:t>production</w:t>
      </w:r>
      <w:r w:rsidR="00DC5065">
        <w:t>, a set</w:t>
      </w:r>
      <w:r w:rsidR="007A692A">
        <w:t xml:space="preserve"> of</w:t>
      </w:r>
      <w:r w:rsidR="00DC5065">
        <w:t xml:space="preserve"> </w:t>
      </w:r>
      <w:r w:rsidR="00504311">
        <w:t>commod</w:t>
      </w:r>
      <w:r w:rsidR="007A692A">
        <w:t>iti</w:t>
      </w:r>
      <w:r w:rsidR="00504311">
        <w:t>es</w:t>
      </w:r>
      <w:r w:rsidR="00DC5065">
        <w:t xml:space="preserve"> that occupy 90 percent of the farmed area and dominate the </w:t>
      </w:r>
      <w:r w:rsidR="007A692A">
        <w:t>consump</w:t>
      </w:r>
      <w:r w:rsidR="00504311">
        <w:t>tion</w:t>
      </w:r>
      <w:r w:rsidR="00DC5065">
        <w:t xml:space="preserve"> patterns of those below the poverty lin</w:t>
      </w:r>
      <w:r w:rsidR="007A692A">
        <w:t xml:space="preserve">e. </w:t>
      </w:r>
      <w:r w:rsidR="00DC5065">
        <w:t>For the 16 years from 1995-</w:t>
      </w:r>
      <w:r w:rsidR="007A692A">
        <w:t xml:space="preserve">96 to 2012-13 the </w:t>
      </w:r>
      <w:r w:rsidR="007E473A">
        <w:t xml:space="preserve">cereals </w:t>
      </w:r>
      <w:r w:rsidR="007A692A">
        <w:t xml:space="preserve">growth rate was 6.3 percent. </w:t>
      </w:r>
      <w:r w:rsidR="00DC5065">
        <w:t xml:space="preserve">With </w:t>
      </w:r>
      <w:r w:rsidR="007A692A">
        <w:t xml:space="preserve">growth </w:t>
      </w:r>
      <w:r w:rsidR="00504311">
        <w:t>policies</w:t>
      </w:r>
      <w:r w:rsidR="00DC5065">
        <w:t xml:space="preserve"> </w:t>
      </w:r>
      <w:r w:rsidR="00504311">
        <w:t>coming</w:t>
      </w:r>
      <w:r w:rsidR="00DC5065">
        <w:t xml:space="preserve"> fully </w:t>
      </w:r>
      <w:r w:rsidR="00504311">
        <w:t>into</w:t>
      </w:r>
      <w:r w:rsidR="007A692A">
        <w:t xml:space="preserve"> play </w:t>
      </w:r>
      <w:r>
        <w:t>in the</w:t>
      </w:r>
      <w:r w:rsidR="00504311">
        <w:t xml:space="preserve"> m</w:t>
      </w:r>
      <w:r>
        <w:t>ore recent 1</w:t>
      </w:r>
      <w:r w:rsidR="00083EAB">
        <w:t>2 year period the growth rate was</w:t>
      </w:r>
      <w:r w:rsidR="00504311">
        <w:t xml:space="preserve"> 7.0 p</w:t>
      </w:r>
      <w:r w:rsidR="007A692A">
        <w:t xml:space="preserve">ercent. </w:t>
      </w:r>
      <w:r w:rsidR="006504E6">
        <w:t xml:space="preserve">Eighty four </w:t>
      </w:r>
      <w:r w:rsidR="00504311">
        <w:t>percent</w:t>
      </w:r>
      <w:r>
        <w:t xml:space="preserve"> of the production increase came from the small </w:t>
      </w:r>
      <w:r w:rsidR="00504311">
        <w:t>commercial</w:t>
      </w:r>
      <w:r>
        <w:t xml:space="preserve"> farmer, </w:t>
      </w:r>
      <w:r w:rsidR="00504311">
        <w:t>ranging</w:t>
      </w:r>
      <w:r w:rsidR="00440254">
        <w:t xml:space="preserve"> in size from 0.75 to 5</w:t>
      </w:r>
      <w:r>
        <w:t xml:space="preserve">.0 hectares. </w:t>
      </w:r>
      <w:r w:rsidR="00CC3CB9">
        <w:t xml:space="preserve"> Less</w:t>
      </w:r>
      <w:r w:rsidR="00626FE0">
        <w:t xml:space="preserve"> than three</w:t>
      </w:r>
      <w:r w:rsidR="00CC3CB9">
        <w:t xml:space="preserve"> </w:t>
      </w:r>
      <w:r w:rsidR="004A53BF">
        <w:t>percent</w:t>
      </w:r>
      <w:r w:rsidR="00CC3CB9">
        <w:t>, as is typical of Asia and Africa, came from large commercial farms</w:t>
      </w:r>
      <w:r w:rsidR="0039781E">
        <w:t>. From</w:t>
      </w:r>
      <w:r w:rsidR="00440254">
        <w:t xml:space="preserve"> the agricultural growth</w:t>
      </w:r>
      <w:r w:rsidR="0039781E">
        <w:t xml:space="preserve"> has come radical decline in rural poverty and increase in food security of the poor. Those improvements have been driven by expenditures of the small commercial farmers on the employment intensive, non-tradable rural non-farm sector. The paper details the five major elements of the Ethiopian success and how they shifted over time.</w:t>
      </w:r>
    </w:p>
    <w:p w:rsidR="007A692A" w:rsidRDefault="007A692A" w:rsidP="005B21A4">
      <w:pPr>
        <w:spacing w:line="480" w:lineRule="auto"/>
      </w:pPr>
    </w:p>
    <w:p w:rsidR="005A2FE6" w:rsidRDefault="0039781E" w:rsidP="005B21A4">
      <w:pPr>
        <w:spacing w:line="480" w:lineRule="auto"/>
      </w:pPr>
      <w:r>
        <w:t xml:space="preserve">        Key Words: agricultural growth; agricultural strategy; poverty reduction; Ethiopia; Africa; fertilizer,           infrastructure </w:t>
      </w:r>
    </w:p>
    <w:p w:rsidR="005A2FE6" w:rsidRDefault="005A2FE6" w:rsidP="005B21A4">
      <w:pPr>
        <w:spacing w:line="480" w:lineRule="auto"/>
      </w:pPr>
    </w:p>
    <w:p w:rsidR="005A2FE6" w:rsidRDefault="005A2FE6" w:rsidP="005B21A4">
      <w:pPr>
        <w:spacing w:line="480" w:lineRule="auto"/>
      </w:pPr>
    </w:p>
    <w:p w:rsidR="0039781E" w:rsidRDefault="0039781E" w:rsidP="005B21A4">
      <w:pPr>
        <w:spacing w:line="480" w:lineRule="auto"/>
      </w:pPr>
    </w:p>
    <w:p w:rsidR="0039781E" w:rsidRDefault="0039781E" w:rsidP="005B21A4">
      <w:pPr>
        <w:spacing w:line="480" w:lineRule="auto"/>
        <w:jc w:val="center"/>
      </w:pPr>
      <w:r>
        <w:t>Rapid Cereals Production Growth in Ethiopia:</w:t>
      </w:r>
    </w:p>
    <w:p w:rsidR="0039781E" w:rsidRDefault="0039781E" w:rsidP="005B21A4">
      <w:pPr>
        <w:tabs>
          <w:tab w:val="center" w:pos="4680"/>
          <w:tab w:val="left" w:pos="8017"/>
        </w:tabs>
        <w:spacing w:line="480" w:lineRule="auto"/>
      </w:pPr>
      <w:r>
        <w:tab/>
        <w:t>How Rapid, How Achieved, Can it Continue, What Impact?</w:t>
      </w:r>
      <w:r>
        <w:tab/>
      </w:r>
    </w:p>
    <w:p w:rsidR="0039781E" w:rsidRDefault="0039781E" w:rsidP="005B21A4">
      <w:pPr>
        <w:spacing w:line="480" w:lineRule="auto"/>
        <w:jc w:val="center"/>
      </w:pPr>
    </w:p>
    <w:p w:rsidR="0039781E" w:rsidRDefault="0039781E" w:rsidP="005B21A4">
      <w:pPr>
        <w:spacing w:line="480" w:lineRule="auto"/>
      </w:pPr>
    </w:p>
    <w:p w:rsidR="0039781E" w:rsidRDefault="0039781E" w:rsidP="005B21A4">
      <w:pPr>
        <w:spacing w:line="480" w:lineRule="auto"/>
      </w:pPr>
      <w:r>
        <w:t>Acknowledgement</w:t>
      </w:r>
    </w:p>
    <w:p w:rsidR="0039781E" w:rsidRDefault="0039781E" w:rsidP="005B21A4">
      <w:pPr>
        <w:pStyle w:val="FootnoteText"/>
        <w:spacing w:line="480" w:lineRule="auto"/>
      </w:pPr>
      <w:r>
        <w:t xml:space="preserve">Much of this materiel was presented January 28, 2014 at a seminar sponsored by the Ethiopian Agricultural Economics Society and a seminar at the Ministry of Agriculture on the same day and at another seminar sponsored by EDRI and IFPRI June 17, 2014. The data and analysis were also presented at a seminar at the World Bank on September 23, 2014, and at a seminar at Cornell University on September 27, 2014. I am grateful to the participants in those seminars for many insights which improved this paper. I have particularly benefited from comments of my colleagues </w:t>
      </w:r>
      <w:proofErr w:type="spellStart"/>
      <w:r>
        <w:t>Demese</w:t>
      </w:r>
      <w:proofErr w:type="spellEnd"/>
      <w:r>
        <w:t xml:space="preserve"> </w:t>
      </w:r>
      <w:proofErr w:type="spellStart"/>
      <w:r>
        <w:t>Chanyalew</w:t>
      </w:r>
      <w:proofErr w:type="spellEnd"/>
      <w:r>
        <w:t xml:space="preserve">, </w:t>
      </w:r>
      <w:proofErr w:type="spellStart"/>
      <w:r>
        <w:t>Shubh</w:t>
      </w:r>
      <w:proofErr w:type="spellEnd"/>
      <w:r>
        <w:t xml:space="preserve"> Kumar-range, </w:t>
      </w:r>
      <w:proofErr w:type="spellStart"/>
      <w:r>
        <w:t>Tadesse</w:t>
      </w:r>
      <w:proofErr w:type="spellEnd"/>
      <w:r>
        <w:t xml:space="preserve"> Kuma, and Hussein </w:t>
      </w:r>
      <w:proofErr w:type="spellStart"/>
      <w:r>
        <w:t>Bekele</w:t>
      </w:r>
      <w:proofErr w:type="spellEnd"/>
      <w:r>
        <w:t xml:space="preserve">. The financial support for this work came from the </w:t>
      </w:r>
      <w:proofErr w:type="spellStart"/>
      <w:r>
        <w:t>AMDe</w:t>
      </w:r>
      <w:proofErr w:type="spellEnd"/>
      <w:r>
        <w:t xml:space="preserve"> pr</w:t>
      </w:r>
      <w:r w:rsidR="00440254">
        <w:t xml:space="preserve">oject, </w:t>
      </w:r>
      <w:r>
        <w:t xml:space="preserve">financed by USAID, Ethiopia. Any remaining errors and oversight are of course my responsibility. </w:t>
      </w:r>
    </w:p>
    <w:p w:rsidR="0039781E" w:rsidRDefault="0039781E" w:rsidP="005B21A4">
      <w:pPr>
        <w:spacing w:line="480" w:lineRule="auto"/>
      </w:pPr>
    </w:p>
    <w:p w:rsidR="0039781E" w:rsidRDefault="0039781E" w:rsidP="005B21A4">
      <w:pPr>
        <w:spacing w:line="480" w:lineRule="auto"/>
      </w:pPr>
    </w:p>
    <w:p w:rsidR="005A2FE6" w:rsidRDefault="005A2FE6" w:rsidP="005B21A4">
      <w:pPr>
        <w:spacing w:line="480" w:lineRule="auto"/>
      </w:pPr>
    </w:p>
    <w:p w:rsidR="005A2FE6" w:rsidRDefault="005A2FE6" w:rsidP="005B21A4">
      <w:pPr>
        <w:spacing w:line="480" w:lineRule="auto"/>
      </w:pPr>
    </w:p>
    <w:p w:rsidR="0039781E" w:rsidRDefault="0039781E" w:rsidP="005B21A4">
      <w:pPr>
        <w:spacing w:line="480" w:lineRule="auto"/>
      </w:pPr>
    </w:p>
    <w:p w:rsidR="0039781E" w:rsidRDefault="0039781E" w:rsidP="005B21A4">
      <w:pPr>
        <w:spacing w:line="480" w:lineRule="auto"/>
      </w:pPr>
    </w:p>
    <w:p w:rsidR="0039781E" w:rsidRDefault="0039781E" w:rsidP="005B21A4">
      <w:pPr>
        <w:spacing w:line="480" w:lineRule="auto"/>
        <w:jc w:val="center"/>
      </w:pPr>
      <w:r>
        <w:t>Rapid Cereals Production Growth in Ethiopia:</w:t>
      </w:r>
    </w:p>
    <w:p w:rsidR="0039781E" w:rsidRDefault="0039781E" w:rsidP="005B21A4">
      <w:pPr>
        <w:tabs>
          <w:tab w:val="center" w:pos="4680"/>
          <w:tab w:val="left" w:pos="8017"/>
        </w:tabs>
        <w:spacing w:line="480" w:lineRule="auto"/>
      </w:pPr>
      <w:r>
        <w:tab/>
        <w:t>How Rapid, How Achieved, Can it Continue, What Impact?</w:t>
      </w:r>
      <w:r>
        <w:tab/>
      </w:r>
    </w:p>
    <w:p w:rsidR="0039781E" w:rsidRDefault="0039781E" w:rsidP="005B21A4">
      <w:pPr>
        <w:spacing w:line="480" w:lineRule="auto"/>
      </w:pPr>
    </w:p>
    <w:p w:rsidR="00204491" w:rsidRDefault="007E473A" w:rsidP="005B21A4">
      <w:pPr>
        <w:spacing w:line="480" w:lineRule="auto"/>
        <w:rPr>
          <w:u w:val="single"/>
        </w:rPr>
      </w:pPr>
      <w:r>
        <w:rPr>
          <w:u w:val="single"/>
        </w:rPr>
        <w:t>Introduction</w:t>
      </w:r>
    </w:p>
    <w:p w:rsidR="00D83028" w:rsidRPr="00EF6D74" w:rsidRDefault="007E473A" w:rsidP="005B21A4">
      <w:pPr>
        <w:spacing w:line="480" w:lineRule="auto"/>
      </w:pPr>
      <w:r>
        <w:t>This paper commences with analysis of the growth rate in cereals production over the past 16 years, firs</w:t>
      </w:r>
      <w:r w:rsidR="002961F7">
        <w:t>t for the collect</w:t>
      </w:r>
      <w:r>
        <w:t xml:space="preserve">ivity of cereals and then for </w:t>
      </w:r>
      <w:r w:rsidR="002961F7">
        <w:t>each individual</w:t>
      </w:r>
      <w:r>
        <w:t xml:space="preserve"> cereal, </w:t>
      </w:r>
      <w:r w:rsidR="00EF6D74">
        <w:t>documenting</w:t>
      </w:r>
      <w:r>
        <w:t xml:space="preserve"> the </w:t>
      </w:r>
      <w:r w:rsidR="002961F7">
        <w:t>relative</w:t>
      </w:r>
      <w:r>
        <w:t xml:space="preserve"> ro</w:t>
      </w:r>
      <w:r w:rsidR="00EF6D74">
        <w:t>le</w:t>
      </w:r>
      <w:r w:rsidR="002961F7">
        <w:t>s</w:t>
      </w:r>
      <w:r w:rsidR="00EF6D74">
        <w:t xml:space="preserve"> of</w:t>
      </w:r>
      <w:r w:rsidR="00AE7B29">
        <w:t xml:space="preserve"> area </w:t>
      </w:r>
      <w:r w:rsidR="00EF6D74">
        <w:t>expansion</w:t>
      </w:r>
      <w:r w:rsidR="00AE7B29">
        <w:t xml:space="preserve"> and </w:t>
      </w:r>
      <w:r w:rsidR="002961F7">
        <w:t>yield</w:t>
      </w:r>
      <w:r w:rsidR="00AE7B29">
        <w:t xml:space="preserve">. The diversity among the </w:t>
      </w:r>
      <w:r w:rsidR="00EF6D74">
        <w:t>in</w:t>
      </w:r>
      <w:r w:rsidR="002961F7">
        <w:t>d</w:t>
      </w:r>
      <w:r w:rsidR="00EF6D74">
        <w:t>ivid</w:t>
      </w:r>
      <w:r w:rsidR="002961F7">
        <w:t>ual</w:t>
      </w:r>
      <w:r w:rsidR="00AE7B29">
        <w:t xml:space="preserve"> cereals illustrates not </w:t>
      </w:r>
      <w:r w:rsidR="002961F7">
        <w:t>on</w:t>
      </w:r>
      <w:r w:rsidR="00EF6D74">
        <w:t>ly</w:t>
      </w:r>
      <w:r w:rsidR="00AE7B29">
        <w:t xml:space="preserve"> the </w:t>
      </w:r>
      <w:r w:rsidR="002961F7">
        <w:t>diverse</w:t>
      </w:r>
      <w:r w:rsidR="00AE7B29">
        <w:t xml:space="preserve"> </w:t>
      </w:r>
      <w:r w:rsidR="002961F7">
        <w:t>conditions</w:t>
      </w:r>
      <w:r w:rsidR="00AE7B29">
        <w:t xml:space="preserve"> and </w:t>
      </w:r>
      <w:r w:rsidR="002961F7">
        <w:t>results</w:t>
      </w:r>
      <w:r w:rsidR="00AE7B29">
        <w:t xml:space="preserve">, but </w:t>
      </w:r>
      <w:r w:rsidR="002961F7">
        <w:t>through</w:t>
      </w:r>
      <w:r w:rsidR="00AE7B29">
        <w:t xml:space="preserve"> consistency checks </w:t>
      </w:r>
      <w:r w:rsidR="00EF6D74">
        <w:t>supports</w:t>
      </w:r>
      <w:r w:rsidR="00AE7B29">
        <w:t xml:space="preserve"> the reliability of the </w:t>
      </w:r>
      <w:r w:rsidR="002961F7">
        <w:t>underlying</w:t>
      </w:r>
      <w:r w:rsidR="00F058FD">
        <w:t xml:space="preserve"> </w:t>
      </w:r>
      <w:proofErr w:type="gramStart"/>
      <w:r w:rsidR="00F058FD">
        <w:t xml:space="preserve">data </w:t>
      </w:r>
      <w:r w:rsidR="00AE7B29">
        <w:t xml:space="preserve"> and</w:t>
      </w:r>
      <w:proofErr w:type="gramEnd"/>
      <w:r w:rsidR="00AE7B29">
        <w:t xml:space="preserve"> analytical </w:t>
      </w:r>
      <w:r w:rsidR="002961F7">
        <w:t>techniques</w:t>
      </w:r>
      <w:r w:rsidR="00AE7B29">
        <w:t xml:space="preserve">. The dominant </w:t>
      </w:r>
      <w:r w:rsidR="002961F7">
        <w:t>role of</w:t>
      </w:r>
      <w:r w:rsidR="00AE7B29">
        <w:t xml:space="preserve"> the small </w:t>
      </w:r>
      <w:r w:rsidR="002961F7">
        <w:t>commercial</w:t>
      </w:r>
      <w:r w:rsidR="00AE7B29">
        <w:t xml:space="preserve"> farmer, </w:t>
      </w:r>
      <w:r w:rsidR="002961F7">
        <w:t>in</w:t>
      </w:r>
      <w:r w:rsidR="00AE7B29">
        <w:t xml:space="preserve"> the case</w:t>
      </w:r>
      <w:r w:rsidR="002961F7">
        <w:t xml:space="preserve"> </w:t>
      </w:r>
      <w:r w:rsidR="00AE7B29">
        <w:t>of</w:t>
      </w:r>
      <w:r w:rsidR="002961F7">
        <w:t xml:space="preserve"> Ethiopia</w:t>
      </w:r>
      <w:r w:rsidR="00AE7B29">
        <w:t xml:space="preserve"> </w:t>
      </w:r>
      <w:r w:rsidR="002961F7">
        <w:t>with</w:t>
      </w:r>
      <w:r w:rsidR="00CC3CB9">
        <w:t xml:space="preserve"> 0.75 to 5</w:t>
      </w:r>
      <w:r w:rsidR="00AE7B29">
        <w:t xml:space="preserve">.00 </w:t>
      </w:r>
      <w:r w:rsidR="002961F7">
        <w:t>he</w:t>
      </w:r>
      <w:r w:rsidR="00EF6D74">
        <w:t>cta</w:t>
      </w:r>
      <w:r w:rsidR="002961F7">
        <w:t>re</w:t>
      </w:r>
      <w:r w:rsidR="00AE7B29">
        <w:t xml:space="preserve"> </w:t>
      </w:r>
      <w:r w:rsidR="002961F7">
        <w:t>holdings</w:t>
      </w:r>
      <w:r w:rsidR="00AE7B29">
        <w:t xml:space="preserve">, </w:t>
      </w:r>
      <w:r w:rsidR="00EF6D74">
        <w:t>i</w:t>
      </w:r>
      <w:r w:rsidR="00AE7B29">
        <w:t xml:space="preserve">n growth is </w:t>
      </w:r>
      <w:r w:rsidR="002961F7">
        <w:t>described</w:t>
      </w:r>
      <w:r w:rsidR="00AE7B29">
        <w:t xml:space="preserve">. It is noted that </w:t>
      </w:r>
      <w:r w:rsidR="002961F7">
        <w:t>these</w:t>
      </w:r>
      <w:r w:rsidR="00AE7B29">
        <w:t xml:space="preserve"> </w:t>
      </w:r>
      <w:r w:rsidR="002961F7">
        <w:t>farmers</w:t>
      </w:r>
      <w:r w:rsidR="00AE7B29">
        <w:t xml:space="preserve"> are above </w:t>
      </w:r>
      <w:r w:rsidR="00DB0217">
        <w:t>the poverty line</w:t>
      </w:r>
      <w:r w:rsidR="002E5B3C">
        <w:t>, are commercial, not subsistence,</w:t>
      </w:r>
      <w:r w:rsidR="00DB0217">
        <w:t xml:space="preserve"> and not poor by</w:t>
      </w:r>
      <w:r w:rsidR="00AE7B29">
        <w:t xml:space="preserve"> </w:t>
      </w:r>
      <w:r w:rsidR="002961F7">
        <w:t>the</w:t>
      </w:r>
      <w:r w:rsidR="00AE7B29">
        <w:t xml:space="preserve"> standards of their communities. Later </w:t>
      </w:r>
      <w:r w:rsidR="002961F7">
        <w:t>analysis</w:t>
      </w:r>
      <w:r w:rsidR="00AE7B29">
        <w:t xml:space="preserve"> shows that </w:t>
      </w:r>
      <w:r w:rsidR="002961F7">
        <w:t>nevertheless</w:t>
      </w:r>
      <w:r w:rsidR="00AE7B29">
        <w:t xml:space="preserve"> </w:t>
      </w:r>
      <w:r w:rsidR="002961F7">
        <w:t>rural</w:t>
      </w:r>
      <w:r w:rsidR="00AE7B29">
        <w:t xml:space="preserve"> poverty declined precipitously and the </w:t>
      </w:r>
      <w:r w:rsidR="002961F7">
        <w:t>relation</w:t>
      </w:r>
      <w:r w:rsidR="00AE7B29">
        <w:t xml:space="preserve"> </w:t>
      </w:r>
      <w:r w:rsidR="002961F7">
        <w:t>between agricultural</w:t>
      </w:r>
      <w:r w:rsidR="00AE7B29">
        <w:t xml:space="preserve"> growth </w:t>
      </w:r>
      <w:r w:rsidR="002961F7">
        <w:t>and poverty</w:t>
      </w:r>
      <w:r w:rsidR="00AE7B29">
        <w:t xml:space="preserve"> </w:t>
      </w:r>
      <w:r w:rsidR="00EF6D74">
        <w:t>redu</w:t>
      </w:r>
      <w:r w:rsidR="002961F7">
        <w:t>ction</w:t>
      </w:r>
      <w:r w:rsidR="00EF6D74">
        <w:t xml:space="preserve"> i</w:t>
      </w:r>
      <w:r w:rsidR="002961F7">
        <w:t>s</w:t>
      </w:r>
      <w:r w:rsidR="00AE7B29">
        <w:t xml:space="preserve"> illuminated. The sour</w:t>
      </w:r>
      <w:r w:rsidR="002961F7">
        <w:t>c</w:t>
      </w:r>
      <w:r w:rsidR="00AE7B29">
        <w:t>es</w:t>
      </w:r>
      <w:r w:rsidR="002961F7">
        <w:t xml:space="preserve"> </w:t>
      </w:r>
      <w:r w:rsidR="00AE7B29">
        <w:t xml:space="preserve">of </w:t>
      </w:r>
      <w:r w:rsidR="002961F7">
        <w:t>growth</w:t>
      </w:r>
      <w:r w:rsidR="00AE7B29">
        <w:t xml:space="preserve"> are analyzed by time period showing how the</w:t>
      </w:r>
      <w:r w:rsidR="00EF6D74">
        <w:t>y</w:t>
      </w:r>
      <w:r w:rsidR="00AE7B29">
        <w:t xml:space="preserve"> changed over time </w:t>
      </w:r>
      <w:r w:rsidR="002961F7">
        <w:t>with</w:t>
      </w:r>
      <w:r w:rsidR="00AE7B29">
        <w:t xml:space="preserve"> a further </w:t>
      </w:r>
      <w:r w:rsidR="002961F7">
        <w:t>set</w:t>
      </w:r>
      <w:r w:rsidR="00AE7B29">
        <w:t xml:space="preserve"> of changes offering the potential for prolonged </w:t>
      </w:r>
      <w:r w:rsidR="002961F7">
        <w:t xml:space="preserve">continuation </w:t>
      </w:r>
      <w:r w:rsidR="00AE7B29">
        <w:t xml:space="preserve">of the high </w:t>
      </w:r>
      <w:r w:rsidR="002961F7">
        <w:t>growth</w:t>
      </w:r>
      <w:r w:rsidR="00AE7B29">
        <w:t xml:space="preserve"> rate </w:t>
      </w:r>
      <w:r w:rsidR="00DB0217">
        <w:t>and</w:t>
      </w:r>
      <w:r w:rsidR="00AE7B29">
        <w:t xml:space="preserve"> a </w:t>
      </w:r>
      <w:r w:rsidR="002961F7">
        <w:t>virtual</w:t>
      </w:r>
      <w:r w:rsidR="00AE7B29">
        <w:t xml:space="preserve"> end to </w:t>
      </w:r>
      <w:r w:rsidR="002961F7">
        <w:t>rural</w:t>
      </w:r>
      <w:r w:rsidR="00AE7B29">
        <w:t xml:space="preserve"> </w:t>
      </w:r>
      <w:r w:rsidR="002961F7">
        <w:t>poverty</w:t>
      </w:r>
      <w:r w:rsidR="00AE7B29">
        <w:t xml:space="preserve">. </w:t>
      </w:r>
      <w:r>
        <w:t xml:space="preserve"> </w:t>
      </w:r>
    </w:p>
    <w:p w:rsidR="008B150D" w:rsidRPr="008B150D" w:rsidRDefault="008B150D" w:rsidP="005B21A4">
      <w:pPr>
        <w:spacing w:line="480" w:lineRule="auto"/>
        <w:rPr>
          <w:u w:val="single"/>
        </w:rPr>
      </w:pPr>
      <w:r>
        <w:rPr>
          <w:u w:val="single"/>
        </w:rPr>
        <w:t xml:space="preserve">The Data and </w:t>
      </w:r>
      <w:r w:rsidR="00504311">
        <w:rPr>
          <w:u w:val="single"/>
        </w:rPr>
        <w:t>Analytical</w:t>
      </w:r>
      <w:r w:rsidR="00EF6D74">
        <w:rPr>
          <w:u w:val="single"/>
        </w:rPr>
        <w:t xml:space="preserve"> Methods</w:t>
      </w:r>
    </w:p>
    <w:p w:rsidR="009E50DE" w:rsidRDefault="00440254" w:rsidP="005B21A4">
      <w:pPr>
        <w:spacing w:line="480" w:lineRule="auto"/>
      </w:pPr>
      <w:r>
        <w:t xml:space="preserve">The basic data </w:t>
      </w:r>
      <w:r w:rsidR="008B150D">
        <w:t xml:space="preserve">for the growth rates discussed </w:t>
      </w:r>
      <w:r w:rsidR="00504311">
        <w:t>in this</w:t>
      </w:r>
      <w:r w:rsidR="008B150D">
        <w:t xml:space="preserve"> paper are from the </w:t>
      </w:r>
      <w:r w:rsidR="00504311">
        <w:t>Ethiopian</w:t>
      </w:r>
      <w:r w:rsidR="008B150D">
        <w:t xml:space="preserve"> Central </w:t>
      </w:r>
      <w:r w:rsidR="00504311">
        <w:t>Statistical</w:t>
      </w:r>
      <w:r w:rsidR="008B150D">
        <w:t xml:space="preserve"> Agency (CSA). </w:t>
      </w:r>
      <w:r w:rsidR="009E50DE">
        <w:t>The Central Statistical Agency website (www.csa.gov.et) provides detailed information on their methodology. In brief, the data are from regular sample surveys. Plots are selected randomly and yields are determined by crop cutting. These are internationally standard procedures. CSA has been doing this for</w:t>
      </w:r>
      <w:r w:rsidR="008B150D">
        <w:t xml:space="preserve"> close to two decades with </w:t>
      </w:r>
      <w:r w:rsidR="009E50DE">
        <w:t xml:space="preserve">continuity in professional leadership and management and well </w:t>
      </w:r>
      <w:r w:rsidR="009E50DE">
        <w:lastRenderedPageBreak/>
        <w:t>trained</w:t>
      </w:r>
      <w:r w:rsidR="00E876B8">
        <w:t xml:space="preserve"> and supervised </w:t>
      </w:r>
      <w:r w:rsidR="009E50DE">
        <w:t xml:space="preserve">staff. Continuous improvement derives in part from a professional head who has been consistently in charge throughout. In brief it is a highly professional organization. </w:t>
      </w:r>
      <w:r w:rsidR="00E876B8">
        <w:t xml:space="preserve">There are technical problems </w:t>
      </w:r>
      <w:r w:rsidR="00504311">
        <w:t>with</w:t>
      </w:r>
      <w:r w:rsidR="00E876B8">
        <w:t xml:space="preserve"> the data, dealt </w:t>
      </w:r>
      <w:r w:rsidR="00504311">
        <w:t>with</w:t>
      </w:r>
      <w:r w:rsidR="00E876B8">
        <w:t xml:space="preserve"> </w:t>
      </w:r>
      <w:r w:rsidR="00EF6D74">
        <w:t>i</w:t>
      </w:r>
      <w:r w:rsidR="00E876B8">
        <w:t xml:space="preserve">n </w:t>
      </w:r>
      <w:r w:rsidR="00504311">
        <w:t>the</w:t>
      </w:r>
      <w:r w:rsidR="00E876B8">
        <w:t xml:space="preserve"> </w:t>
      </w:r>
      <w:r w:rsidR="00504311">
        <w:t>next</w:t>
      </w:r>
      <w:r w:rsidR="00E876B8">
        <w:t xml:space="preserve"> paragraph. There is </w:t>
      </w:r>
      <w:r w:rsidR="00504311">
        <w:t>however no</w:t>
      </w:r>
      <w:r w:rsidR="00EF6D74">
        <w:t xml:space="preserve"> basis for </w:t>
      </w:r>
      <w:r w:rsidR="00E876B8">
        <w:t xml:space="preserve">a consistent </w:t>
      </w:r>
      <w:r w:rsidR="00EF6D74">
        <w:t xml:space="preserve">set of </w:t>
      </w:r>
      <w:r w:rsidR="00E876B8">
        <w:t>bias</w:t>
      </w:r>
      <w:r w:rsidR="00EF6D74">
        <w:t>es</w:t>
      </w:r>
      <w:r w:rsidR="00E876B8">
        <w:t xml:space="preserve"> </w:t>
      </w:r>
      <w:r w:rsidR="00504311">
        <w:t>that</w:t>
      </w:r>
      <w:r w:rsidR="00EF6D74">
        <w:t xml:space="preserve"> inflate</w:t>
      </w:r>
      <w:r w:rsidR="00E876B8">
        <w:t xml:space="preserve"> the </w:t>
      </w:r>
      <w:r w:rsidR="00504311">
        <w:t>growth</w:t>
      </w:r>
      <w:r w:rsidR="00E876B8">
        <w:t xml:space="preserve"> </w:t>
      </w:r>
      <w:r w:rsidR="00504311">
        <w:t>rate</w:t>
      </w:r>
      <w:r w:rsidR="00E876B8">
        <w:t xml:space="preserve">. </w:t>
      </w:r>
    </w:p>
    <w:p w:rsidR="00E876B8" w:rsidRDefault="00E876B8" w:rsidP="005B21A4">
      <w:pPr>
        <w:spacing w:line="480" w:lineRule="auto"/>
      </w:pPr>
      <w:r>
        <w:t xml:space="preserve">The trends in </w:t>
      </w:r>
      <w:r w:rsidR="00504311">
        <w:t>this paper</w:t>
      </w:r>
      <w:r>
        <w:t xml:space="preserve"> are dr</w:t>
      </w:r>
      <w:r w:rsidR="00504311">
        <w:t>aw</w:t>
      </w:r>
      <w:r>
        <w:t>n from a paper commissioned from</w:t>
      </w:r>
      <w:r w:rsidR="008B150D">
        <w:t xml:space="preserve"> Richard Stuff (2013.) </w:t>
      </w:r>
      <w:r w:rsidR="008B150D">
        <w:rPr>
          <w:rStyle w:val="FootnoteReference"/>
        </w:rPr>
        <w:footnoteReference w:id="1"/>
      </w:r>
      <w:r>
        <w:t xml:space="preserve"> </w:t>
      </w:r>
      <w:r w:rsidR="009E50DE">
        <w:t>There are gap</w:t>
      </w:r>
      <w:r>
        <w:t>s</w:t>
      </w:r>
      <w:r w:rsidR="009E50DE">
        <w:t xml:space="preserve"> in the da</w:t>
      </w:r>
      <w:r w:rsidR="00227871">
        <w:t>ta and</w:t>
      </w:r>
      <w:r w:rsidR="002C593E">
        <w:t xml:space="preserve"> definitions changed in 1997</w:t>
      </w:r>
      <w:r>
        <w:t xml:space="preserve">. </w:t>
      </w:r>
      <w:r w:rsidR="009E50DE">
        <w:t xml:space="preserve">Agriculture is strongly influenced by large fluctuations in weather. </w:t>
      </w:r>
      <w:r>
        <w:t xml:space="preserve">We are interested in the impact of trends in investment, technology and management, not trends in weather.  </w:t>
      </w:r>
      <w:r w:rsidR="009E50DE">
        <w:t>To deal with those real problem</w:t>
      </w:r>
      <w:r w:rsidR="002C593E">
        <w:t>s, the analysis starts with 1997</w:t>
      </w:r>
      <w:r w:rsidR="009E50DE">
        <w:t xml:space="preserve">, since changes in definitions call for difficult adjustments to prior years. The data for 2002 were collected somewhat differently to that of the other years and so were dropped. </w:t>
      </w:r>
      <w:r w:rsidR="002C593E">
        <w:t>That gives us 14</w:t>
      </w:r>
      <w:r w:rsidR="00810400">
        <w:t xml:space="preserve"> </w:t>
      </w:r>
      <w:r w:rsidR="002C593E">
        <w:t xml:space="preserve">data </w:t>
      </w:r>
      <w:r w:rsidR="00810400">
        <w:t xml:space="preserve">years. </w:t>
      </w:r>
      <w:r w:rsidR="009E50DE">
        <w:t>There are gaps in the data for some zones, so those zones were dropped</w:t>
      </w:r>
      <w:r>
        <w:t xml:space="preserve">. </w:t>
      </w:r>
    </w:p>
    <w:p w:rsidR="009E50DE" w:rsidRDefault="009E50DE" w:rsidP="005B21A4">
      <w:pPr>
        <w:spacing w:line="480" w:lineRule="auto"/>
      </w:pPr>
      <w:r>
        <w:t xml:space="preserve">Thus the analysis is for zones with complete </w:t>
      </w:r>
      <w:r w:rsidR="002C593E">
        <w:t>sets of data for the period 1996/7-201/12</w:t>
      </w:r>
      <w:r>
        <w:t xml:space="preserve">, excluding 2002. That set of zones encompasses about 87 percent of the cereals production of all the zones. The data were analyzed by standard linear regressions and also by the </w:t>
      </w:r>
      <w:r w:rsidR="00227871">
        <w:t>S</w:t>
      </w:r>
      <w:r w:rsidR="00504311">
        <w:t>en</w:t>
      </w:r>
      <w:r>
        <w:t xml:space="preserve"> Method which is better for taking out the impact of weather fluctuations. In fact the two approaches provide very similar results.</w:t>
      </w:r>
      <w:r w:rsidR="0024299A">
        <w:rPr>
          <w:rStyle w:val="FootnoteReference"/>
        </w:rPr>
        <w:footnoteReference w:id="2"/>
      </w:r>
      <w:r>
        <w:t xml:space="preserve"> The zonal level data and trends provide an enormous data set for future analysis. The ranges and the inter-quartile ranges among the zones are large, although not out of keeping with what is normally encountered in such analyses for other countries. Some of the variance among zones is due to natural con</w:t>
      </w:r>
      <w:r w:rsidR="00227871">
        <w:t xml:space="preserve">ditions – </w:t>
      </w:r>
      <w:r w:rsidR="00227871">
        <w:lastRenderedPageBreak/>
        <w:t>weather and soil - but</w:t>
      </w:r>
      <w:r>
        <w:t xml:space="preserve"> some define differences in human injections that will be valuable for diagnosing improvements. The zonal level date, with tests of significance are available at the source, footnote 2.  </w:t>
      </w:r>
    </w:p>
    <w:p w:rsidR="00227871" w:rsidRDefault="00227871" w:rsidP="005B21A4">
      <w:pPr>
        <w:spacing w:line="480" w:lineRule="auto"/>
      </w:pPr>
      <w:r>
        <w:t>There is a conc</w:t>
      </w:r>
      <w:r w:rsidR="00810400">
        <w:t>ern that adjustments</w:t>
      </w:r>
      <w:r>
        <w:t xml:space="preserve"> introduce an upward bias in the data. However using all the data, without the deletions stated above, provides a significantly higher growth rate of 7.38 percent for al</w:t>
      </w:r>
      <w:r w:rsidR="00810400">
        <w:t>l cereals for the 16 years</w:t>
      </w:r>
      <w:r>
        <w:t xml:space="preserve"> and 7.57 per</w:t>
      </w:r>
      <w:r w:rsidR="009C4485">
        <w:t>c</w:t>
      </w:r>
      <w:r>
        <w:t>ent for the more recent 12 year</w:t>
      </w:r>
      <w:r w:rsidR="00810400">
        <w:t>s</w:t>
      </w:r>
      <w:r>
        <w:t xml:space="preserve"> – 9 and 17 percent higher than for the adjusted data. Thus the adjusted data provide a more conservative estimate – which we prefer as more accurate.</w:t>
      </w:r>
    </w:p>
    <w:p w:rsidR="00227871" w:rsidRDefault="009E50DE" w:rsidP="005B21A4">
      <w:pPr>
        <w:spacing w:line="480" w:lineRule="auto"/>
      </w:pPr>
      <w:r>
        <w:t xml:space="preserve">As will be noted in later sections of this paper there are numerous checks of consistency, further sustaining the reliability of the basic data from </w:t>
      </w:r>
      <w:proofErr w:type="gramStart"/>
      <w:r w:rsidR="00227871">
        <w:t>CSA.</w:t>
      </w:r>
      <w:proofErr w:type="gramEnd"/>
      <w:r w:rsidR="00227871">
        <w:t xml:space="preserve"> </w:t>
      </w:r>
      <w:r>
        <w:t>Most important, the data on decline in rural poverty are broadly consistent with the growth rate data and come from quite different data sets.</w:t>
      </w:r>
      <w:r w:rsidR="00E876B8">
        <w:t xml:space="preserve"> This is a reliable data set for </w:t>
      </w:r>
      <w:r>
        <w:t xml:space="preserve">understanding how the growth was achieved, the unique features of the Ethiopian approach, its sustainability, and requirements for maintaining that growth rate in the future. </w:t>
      </w:r>
    </w:p>
    <w:p w:rsidR="009E50DE" w:rsidRDefault="009E50DE" w:rsidP="005B21A4">
      <w:pPr>
        <w:spacing w:line="480" w:lineRule="auto"/>
        <w:rPr>
          <w:u w:val="single"/>
        </w:rPr>
      </w:pPr>
      <w:r>
        <w:rPr>
          <w:u w:val="single"/>
        </w:rPr>
        <w:t>Growth Rates for Cereals</w:t>
      </w:r>
    </w:p>
    <w:p w:rsidR="00227871" w:rsidRDefault="00440254" w:rsidP="005B21A4">
      <w:pPr>
        <w:spacing w:line="480" w:lineRule="auto"/>
      </w:pPr>
      <w:r>
        <w:t xml:space="preserve">Table 1 summarizes the growth rate </w:t>
      </w:r>
      <w:proofErr w:type="gramStart"/>
      <w:r>
        <w:t xml:space="preserve">data </w:t>
      </w:r>
      <w:r w:rsidR="009E50DE">
        <w:t>.</w:t>
      </w:r>
      <w:proofErr w:type="gramEnd"/>
      <w:r w:rsidR="009E50DE">
        <w:t xml:space="preserve"> The growth rate accelerated in the most recent 12 years of the 16 year period. That is consistent with the increasing attention to investment and institutional d</w:t>
      </w:r>
      <w:r w:rsidR="006904AF">
        <w:t xml:space="preserve">evelopment called for in the </w:t>
      </w:r>
      <w:r w:rsidR="00791C60">
        <w:t>Policy</w:t>
      </w:r>
      <w:r w:rsidR="009C4485">
        <w:t xml:space="preserve"> </w:t>
      </w:r>
      <w:r w:rsidR="006904AF">
        <w:t>and Investment Framework (PIF)</w:t>
      </w:r>
      <w:r w:rsidR="00A212FE">
        <w:t xml:space="preserve"> (2010)</w:t>
      </w:r>
      <w:r w:rsidR="006904AF">
        <w:t xml:space="preserve"> for the current ten year plan</w:t>
      </w:r>
      <w:r w:rsidR="009E50DE">
        <w:t xml:space="preserve">. </w:t>
      </w:r>
    </w:p>
    <w:p w:rsidR="00440254" w:rsidRDefault="00440254" w:rsidP="005B21A4">
      <w:pPr>
        <w:spacing w:line="480" w:lineRule="auto"/>
      </w:pPr>
      <w:r>
        <w:t>Insert table 1</w:t>
      </w:r>
    </w:p>
    <w:p w:rsidR="00227871" w:rsidRDefault="00227871" w:rsidP="005B21A4">
      <w:pPr>
        <w:spacing w:line="480" w:lineRule="auto"/>
      </w:pPr>
      <w:r>
        <w:t xml:space="preserve">The growth rates calculated for the zones with consistent data for the full set of four cereals and the </w:t>
      </w:r>
      <w:r w:rsidR="00A212FE">
        <w:t>most recent 12 year period seem</w:t>
      </w:r>
      <w:r>
        <w:t xml:space="preserve"> most representative for depicting the aggregate situation and for </w:t>
      </w:r>
      <w:r>
        <w:lastRenderedPageBreak/>
        <w:t>projections.</w:t>
      </w:r>
      <w:r w:rsidRPr="00E00945">
        <w:t xml:space="preserve"> </w:t>
      </w:r>
      <w:r>
        <w:t>That is a most impressive 7.0 percent growth rate. That is 17 percent higher than the CAADP target of 6.0 percent.</w:t>
      </w:r>
      <w:r>
        <w:rPr>
          <w:rStyle w:val="FootnoteReference"/>
        </w:rPr>
        <w:footnoteReference w:id="3"/>
      </w:r>
      <w:r>
        <w:t xml:space="preserve"> </w:t>
      </w:r>
    </w:p>
    <w:p w:rsidR="00D127B6" w:rsidRDefault="00227871" w:rsidP="005B21A4">
      <w:pPr>
        <w:spacing w:line="480" w:lineRule="auto"/>
      </w:pPr>
      <w:r>
        <w:t>In both the recent 12 years and the longer 16 years area increase accounted for 40 percent of the growth an</w:t>
      </w:r>
      <w:r w:rsidR="00DB0217">
        <w:t>d yield for 60 percent. Both show</w:t>
      </w:r>
      <w:r>
        <w:t xml:space="preserve"> 11 percent faster growth rates in the more recent period. At forty percent it is surprising that yield increase held its percentage since one would assume,</w:t>
      </w:r>
      <w:r w:rsidR="009C4485">
        <w:t xml:space="preserve"> as the PIF </w:t>
      </w:r>
      <w:r>
        <w:t>suggested</w:t>
      </w:r>
      <w:r w:rsidR="009C4485">
        <w:t>,</w:t>
      </w:r>
      <w:r>
        <w:t xml:space="preserve"> that potential for area increase must b</w:t>
      </w:r>
      <w:r w:rsidR="009C4485">
        <w:t>e</w:t>
      </w:r>
      <w:r>
        <w:t xml:space="preserve"> </w:t>
      </w:r>
      <w:r w:rsidR="009C4485">
        <w:t>declin</w:t>
      </w:r>
      <w:r>
        <w:t>ing over time.</w:t>
      </w:r>
      <w:r w:rsidR="00810400">
        <w:rPr>
          <w:rStyle w:val="FootnoteReference"/>
        </w:rPr>
        <w:footnoteReference w:id="4"/>
      </w:r>
      <w:r>
        <w:t xml:space="preserve"> However, as shown below there is strong positive correlation between </w:t>
      </w:r>
      <w:r w:rsidR="009C4485">
        <w:t>yiel</w:t>
      </w:r>
      <w:r>
        <w:t>d increase and area increase. That</w:t>
      </w:r>
      <w:r w:rsidR="009C4485">
        <w:t xml:space="preserve"> </w:t>
      </w:r>
      <w:r>
        <w:t xml:space="preserve">is not surprising because higher yields infer greater profitability thereby increasing the incentive to bring previously marginal land into production. </w:t>
      </w:r>
      <w:r w:rsidR="00D127B6">
        <w:t xml:space="preserve">Since cereals comprise such a high proportion of total area the bulk of that area </w:t>
      </w:r>
      <w:r w:rsidR="00083107">
        <w:t xml:space="preserve">increase must have come from </w:t>
      </w:r>
      <w:r w:rsidR="00D127B6">
        <w:t>overall increase in</w:t>
      </w:r>
      <w:r w:rsidR="00083107">
        <w:t xml:space="preserve"> area, not </w:t>
      </w:r>
      <w:r w:rsidR="00FC079C">
        <w:t>a substitution from other crops.</w:t>
      </w:r>
    </w:p>
    <w:p w:rsidR="00227871" w:rsidRDefault="00227871" w:rsidP="005B21A4">
      <w:pPr>
        <w:spacing w:line="480" w:lineRule="auto"/>
      </w:pPr>
      <w:r>
        <w:t>It is excessively conservative to discount the acceleration and take the 16 years figure of 6.3 percent. But even that is 5 percent higher than the CAADP target. No other country has maintained that high a cereals production growth rate for a 16 year period. Later sections of this paper examine in detail the sources of growth to reinforce the plausibility of these growth rates.</w:t>
      </w:r>
      <w:r w:rsidRPr="00E00945">
        <w:t xml:space="preserve"> </w:t>
      </w:r>
    </w:p>
    <w:p w:rsidR="005B02EF" w:rsidRDefault="00227871" w:rsidP="005B21A4">
      <w:pPr>
        <w:spacing w:line="480" w:lineRule="auto"/>
      </w:pPr>
      <w:r>
        <w:t>In summary, these growth rates are plausible given: (a.) the very low base of yields, (b) the large investments, especially in physical infrastructure</w:t>
      </w:r>
      <w:r>
        <w:rPr>
          <w:rStyle w:val="FootnoteReference"/>
        </w:rPr>
        <w:footnoteReference w:id="5"/>
      </w:r>
      <w:r w:rsidR="009C4485">
        <w:t xml:space="preserve">, (c) </w:t>
      </w:r>
      <w:r>
        <w:t>attention to rapid institution</w:t>
      </w:r>
      <w:r w:rsidR="009C4485">
        <w:t xml:space="preserve"> building and reform, and (d</w:t>
      </w:r>
      <w:r>
        <w:t xml:space="preserve">) the highly publicized centrality of agricultural growth to the government’s growth targets and national vision. </w:t>
      </w:r>
    </w:p>
    <w:p w:rsidR="0044621B" w:rsidRDefault="0044621B" w:rsidP="005B21A4">
      <w:pPr>
        <w:spacing w:line="480" w:lineRule="auto"/>
      </w:pPr>
      <w:r>
        <w:lastRenderedPageBreak/>
        <w:t xml:space="preserve">The government’s growth target for agriculture is 8.0 percent – one-third faster than the very high CAADP rate. If the average for cereals for all zones (not the subset chosen for comparability in this analysis) of 7.6 percent is taken for the most recent 12 years, then the achievement has been not much off the target. It drops to 7.4 percent for the full 16 years. </w:t>
      </w:r>
    </w:p>
    <w:p w:rsidR="00BD7857" w:rsidRDefault="00B12408" w:rsidP="005B21A4">
      <w:pPr>
        <w:spacing w:line="480" w:lineRule="auto"/>
      </w:pPr>
      <w:r>
        <w:rPr>
          <w:u w:val="single"/>
        </w:rPr>
        <w:t xml:space="preserve">Growth </w:t>
      </w:r>
      <w:r w:rsidR="00504311">
        <w:rPr>
          <w:u w:val="single"/>
        </w:rPr>
        <w:t>Rate</w:t>
      </w:r>
      <w:r>
        <w:rPr>
          <w:u w:val="single"/>
        </w:rPr>
        <w:t xml:space="preserve"> </w:t>
      </w:r>
      <w:r w:rsidR="00504311">
        <w:rPr>
          <w:u w:val="single"/>
        </w:rPr>
        <w:t>of</w:t>
      </w:r>
      <w:r>
        <w:rPr>
          <w:u w:val="single"/>
        </w:rPr>
        <w:t xml:space="preserve"> </w:t>
      </w:r>
      <w:r w:rsidR="00504311">
        <w:rPr>
          <w:u w:val="single"/>
        </w:rPr>
        <w:t>Individual</w:t>
      </w:r>
      <w:r>
        <w:rPr>
          <w:u w:val="single"/>
        </w:rPr>
        <w:t xml:space="preserve"> Cereals</w:t>
      </w:r>
      <w:r w:rsidR="00FC079C" w:rsidRPr="00FC079C">
        <w:t xml:space="preserve"> </w:t>
      </w:r>
    </w:p>
    <w:p w:rsidR="009E50DE" w:rsidRDefault="009E50DE" w:rsidP="005B21A4">
      <w:pPr>
        <w:spacing w:line="480" w:lineRule="auto"/>
      </w:pPr>
      <w:r>
        <w:t>There has been considerable di</w:t>
      </w:r>
      <w:r w:rsidR="00751D90">
        <w:t>fference in the growth rates among</w:t>
      </w:r>
      <w:r>
        <w:t xml:space="preserve"> individual cereals. Those divergences provide a further test of internal consistency in the growth rate data. They also allow a more detailed analysis of sources of growth and hence recommendations for the future.</w:t>
      </w:r>
    </w:p>
    <w:p w:rsidR="009E50DE" w:rsidRDefault="009E50DE" w:rsidP="005B21A4">
      <w:pPr>
        <w:spacing w:line="480" w:lineRule="auto"/>
        <w:rPr>
          <w:u w:val="single"/>
        </w:rPr>
      </w:pPr>
      <w:proofErr w:type="spellStart"/>
      <w:r>
        <w:rPr>
          <w:u w:val="single"/>
        </w:rPr>
        <w:t>Teff</w:t>
      </w:r>
      <w:proofErr w:type="spellEnd"/>
    </w:p>
    <w:p w:rsidR="00F9550C" w:rsidRDefault="009E50DE" w:rsidP="005B21A4">
      <w:pPr>
        <w:spacing w:line="480" w:lineRule="auto"/>
      </w:pPr>
      <w:proofErr w:type="spellStart"/>
      <w:r>
        <w:t>Teff</w:t>
      </w:r>
      <w:proofErr w:type="spellEnd"/>
      <w:r>
        <w:t xml:space="preserve"> is now the most important cereal by va</w:t>
      </w:r>
      <w:r w:rsidR="00B12408">
        <w:t xml:space="preserve">lue. It is specific to Ethiopia </w:t>
      </w:r>
      <w:r w:rsidR="00504311">
        <w:t xml:space="preserve">with </w:t>
      </w:r>
      <w:r w:rsidR="00B12408">
        <w:t xml:space="preserve">the </w:t>
      </w:r>
      <w:r w:rsidR="00504311">
        <w:t>consequence</w:t>
      </w:r>
      <w:r w:rsidR="00B12408">
        <w:t xml:space="preserve"> </w:t>
      </w:r>
      <w:r w:rsidR="00504311">
        <w:t>that</w:t>
      </w:r>
      <w:r w:rsidR="00BD7857">
        <w:t xml:space="preserve"> </w:t>
      </w:r>
      <w:r w:rsidR="00B12408">
        <w:t xml:space="preserve">it receives very </w:t>
      </w:r>
      <w:r w:rsidR="00504311">
        <w:t>little</w:t>
      </w:r>
      <w:r w:rsidR="00B12408">
        <w:t xml:space="preserve"> </w:t>
      </w:r>
      <w:r w:rsidR="00504311">
        <w:t>foreign</w:t>
      </w:r>
      <w:r w:rsidR="00B12408">
        <w:t xml:space="preserve"> </w:t>
      </w:r>
      <w:r w:rsidR="00504311">
        <w:t>aid. For</w:t>
      </w:r>
      <w:r w:rsidR="00B12408">
        <w:t xml:space="preserve"> </w:t>
      </w:r>
      <w:r w:rsidR="00504311">
        <w:t>example</w:t>
      </w:r>
      <w:r w:rsidR="00BD7857">
        <w:t>,</w:t>
      </w:r>
      <w:r w:rsidR="00504311">
        <w:t xml:space="preserve"> t</w:t>
      </w:r>
      <w:r w:rsidR="00B12408">
        <w:t>he</w:t>
      </w:r>
      <w:r w:rsidR="00504311">
        <w:t xml:space="preserve"> World </w:t>
      </w:r>
      <w:r w:rsidR="00B12408">
        <w:t>Bank</w:t>
      </w:r>
      <w:r w:rsidR="00504311">
        <w:t>’</w:t>
      </w:r>
      <w:r w:rsidR="00B12408">
        <w:t xml:space="preserve">s large </w:t>
      </w:r>
      <w:r w:rsidR="00504311">
        <w:t>regional</w:t>
      </w:r>
      <w:r w:rsidR="00B12408">
        <w:t xml:space="preserve"> </w:t>
      </w:r>
      <w:r w:rsidR="00083107">
        <w:t xml:space="preserve">agricultural research </w:t>
      </w:r>
      <w:r w:rsidR="00504311">
        <w:t>project does n</w:t>
      </w:r>
      <w:r w:rsidR="00B12408">
        <w:t xml:space="preserve">ot </w:t>
      </w:r>
      <w:r w:rsidR="00504311">
        <w:t>include</w:t>
      </w:r>
      <w:r w:rsidR="00B12408">
        <w:t xml:space="preserve"> </w:t>
      </w:r>
      <w:proofErr w:type="spellStart"/>
      <w:r w:rsidR="00B12408">
        <w:t>teff</w:t>
      </w:r>
      <w:proofErr w:type="spellEnd"/>
      <w:r w:rsidR="00B12408">
        <w:t>.</w:t>
      </w:r>
      <w:r>
        <w:t xml:space="preserve"> </w:t>
      </w:r>
      <w:r w:rsidR="00B12408">
        <w:t xml:space="preserve">It </w:t>
      </w:r>
      <w:r>
        <w:t xml:space="preserve">is considered difficult to breed and is particularly susceptible to lodging. It has traditionally had relatively low yields and high labor intensity with a consequent relatively high cost of production. </w:t>
      </w:r>
      <w:proofErr w:type="spellStart"/>
      <w:r w:rsidR="00504311">
        <w:t>Teff</w:t>
      </w:r>
      <w:proofErr w:type="spellEnd"/>
      <w:r w:rsidR="00504311">
        <w:t xml:space="preserve"> is</w:t>
      </w:r>
      <w:r w:rsidR="00B12408">
        <w:t xml:space="preserve"> the favored cereal for c</w:t>
      </w:r>
      <w:r w:rsidR="00504311">
        <w:t>o</w:t>
      </w:r>
      <w:r w:rsidR="00B12408">
        <w:t>nsumpt</w:t>
      </w:r>
      <w:r w:rsidR="00504311">
        <w:t>io</w:t>
      </w:r>
      <w:r w:rsidR="00B12408">
        <w:t xml:space="preserve">n by </w:t>
      </w:r>
      <w:r w:rsidR="00791C60">
        <w:t>Ethiopians</w:t>
      </w:r>
      <w:r w:rsidR="00B12408">
        <w:t xml:space="preserve">. As a </w:t>
      </w:r>
      <w:r w:rsidR="00791C60">
        <w:t>result</w:t>
      </w:r>
      <w:r w:rsidR="00B12408">
        <w:t xml:space="preserve"> it has an </w:t>
      </w:r>
      <w:r w:rsidR="00791C60">
        <w:t>income</w:t>
      </w:r>
      <w:r w:rsidR="00B12408">
        <w:t xml:space="preserve"> elastic</w:t>
      </w:r>
      <w:r w:rsidR="00BD7857">
        <w:t>ity</w:t>
      </w:r>
      <w:r w:rsidR="00D739FA">
        <w:t xml:space="preserve"> of demand of 1.1</w:t>
      </w:r>
      <w:r w:rsidR="00AB6B72">
        <w:t xml:space="preserve">3 </w:t>
      </w:r>
      <w:r w:rsidR="00D739FA">
        <w:t>(</w:t>
      </w:r>
      <w:proofErr w:type="spellStart"/>
      <w:r w:rsidR="00AB6B72">
        <w:t>Kibron</w:t>
      </w:r>
      <w:proofErr w:type="spellEnd"/>
      <w:r w:rsidR="00AB6B72">
        <w:t xml:space="preserve"> et. al 2010</w:t>
      </w:r>
      <w:r w:rsidR="00083107">
        <w:t>.</w:t>
      </w:r>
      <w:r w:rsidR="00D739FA">
        <w:t xml:space="preserve">) </w:t>
      </w:r>
      <w:r w:rsidR="00B12408">
        <w:t xml:space="preserve">  </w:t>
      </w:r>
      <w:r w:rsidR="00791C60">
        <w:t>Because</w:t>
      </w:r>
      <w:r w:rsidR="00B12408">
        <w:t xml:space="preserve"> </w:t>
      </w:r>
      <w:r w:rsidR="00791C60">
        <w:t>of</w:t>
      </w:r>
      <w:r w:rsidR="00B12408">
        <w:t xml:space="preserve"> its </w:t>
      </w:r>
      <w:r w:rsidR="00791C60">
        <w:t>higher</w:t>
      </w:r>
      <w:r w:rsidR="00B12408">
        <w:t xml:space="preserve"> cost</w:t>
      </w:r>
      <w:r w:rsidR="00791C60">
        <w:t xml:space="preserve"> </w:t>
      </w:r>
      <w:r w:rsidR="00B12408">
        <w:t>of</w:t>
      </w:r>
      <w:r w:rsidR="00791C60">
        <w:t xml:space="preserve"> production</w:t>
      </w:r>
      <w:r w:rsidR="00B12408">
        <w:t xml:space="preserve"> and </w:t>
      </w:r>
      <w:r w:rsidR="00791C60">
        <w:t>strong</w:t>
      </w:r>
      <w:r w:rsidR="00B12408">
        <w:t xml:space="preserve"> demand it commands a </w:t>
      </w:r>
      <w:r w:rsidR="00791C60">
        <w:t>substantial</w:t>
      </w:r>
      <w:r w:rsidR="00B12408">
        <w:t xml:space="preserve"> </w:t>
      </w:r>
      <w:r w:rsidR="004913F7">
        <w:t>premium i</w:t>
      </w:r>
      <w:r w:rsidR="00791C60">
        <w:t xml:space="preserve">n </w:t>
      </w:r>
      <w:r w:rsidR="00B12408">
        <w:t>price</w:t>
      </w:r>
      <w:r w:rsidR="00791C60">
        <w:t xml:space="preserve"> </w:t>
      </w:r>
      <w:r w:rsidR="00B12408">
        <w:t xml:space="preserve">over </w:t>
      </w:r>
      <w:r w:rsidR="00791C60">
        <w:t>the</w:t>
      </w:r>
      <w:r w:rsidR="00B12408">
        <w:t xml:space="preserve"> other cereals. As a </w:t>
      </w:r>
      <w:r w:rsidR="00791C60">
        <w:t>res</w:t>
      </w:r>
      <w:r w:rsidR="00BD7857">
        <w:t>ul</w:t>
      </w:r>
      <w:r w:rsidR="00791C60">
        <w:t>t</w:t>
      </w:r>
      <w:r w:rsidR="00B12408">
        <w:t xml:space="preserve"> it is c</w:t>
      </w:r>
      <w:r w:rsidR="00791C60">
        <w:t>ons</w:t>
      </w:r>
      <w:r w:rsidR="00B12408">
        <w:t>umed</w:t>
      </w:r>
      <w:r w:rsidR="00791C60">
        <w:t xml:space="preserve"> largely i</w:t>
      </w:r>
      <w:r w:rsidR="00B12408">
        <w:t xml:space="preserve">n </w:t>
      </w:r>
      <w:r w:rsidR="00791C60">
        <w:t>urban</w:t>
      </w:r>
      <w:r w:rsidR="00B12408">
        <w:t xml:space="preserve"> </w:t>
      </w:r>
      <w:r w:rsidR="00791C60">
        <w:t>areas</w:t>
      </w:r>
      <w:r w:rsidR="00B12408">
        <w:t xml:space="preserve"> and by the </w:t>
      </w:r>
      <w:r w:rsidR="00791C60">
        <w:t>higher</w:t>
      </w:r>
      <w:r w:rsidR="00B12408">
        <w:t xml:space="preserve"> </w:t>
      </w:r>
      <w:r w:rsidR="00BD7857">
        <w:t>in</w:t>
      </w:r>
      <w:r w:rsidR="00791C60">
        <w:t>come</w:t>
      </w:r>
      <w:r w:rsidR="001702D4">
        <w:t xml:space="preserve"> rural</w:t>
      </w:r>
      <w:r w:rsidR="00B12408">
        <w:t xml:space="preserve"> </w:t>
      </w:r>
      <w:r w:rsidR="00791C60">
        <w:t>families</w:t>
      </w:r>
      <w:r w:rsidR="00B12408">
        <w:t xml:space="preserve">. Low </w:t>
      </w:r>
      <w:r w:rsidR="00791C60">
        <w:t>income</w:t>
      </w:r>
      <w:r w:rsidR="00B12408">
        <w:t xml:space="preserve"> </w:t>
      </w:r>
      <w:r w:rsidR="00BD7857">
        <w:t>families</w:t>
      </w:r>
      <w:r w:rsidR="00B12408">
        <w:t xml:space="preserve"> </w:t>
      </w:r>
      <w:r w:rsidR="00791C60">
        <w:t>consume</w:t>
      </w:r>
      <w:r w:rsidR="00B12408">
        <w:t xml:space="preserve"> some</w:t>
      </w:r>
      <w:r w:rsidR="00791C60">
        <w:t xml:space="preserve"> </w:t>
      </w:r>
      <w:proofErr w:type="spellStart"/>
      <w:r w:rsidR="00B12408">
        <w:t>teff</w:t>
      </w:r>
      <w:proofErr w:type="spellEnd"/>
      <w:r w:rsidR="00B12408">
        <w:t xml:space="preserve">, </w:t>
      </w:r>
      <w:r w:rsidR="00791C60">
        <w:t>normal</w:t>
      </w:r>
      <w:r w:rsidR="00BD7857">
        <w:t>ly</w:t>
      </w:r>
      <w:r w:rsidR="00791C60">
        <w:t xml:space="preserve"> mixed</w:t>
      </w:r>
      <w:r w:rsidR="00B12408">
        <w:t xml:space="preserve"> </w:t>
      </w:r>
      <w:r w:rsidR="00791C60">
        <w:t>with</w:t>
      </w:r>
      <w:r w:rsidR="00B12408">
        <w:t xml:space="preserve"> </w:t>
      </w:r>
      <w:r w:rsidR="001702D4">
        <w:t>other</w:t>
      </w:r>
      <w:r w:rsidR="00B12408">
        <w:t xml:space="preserve"> </w:t>
      </w:r>
      <w:r w:rsidR="00791C60">
        <w:t>cereals</w:t>
      </w:r>
      <w:r w:rsidR="00BD7857">
        <w:t>,</w:t>
      </w:r>
      <w:r w:rsidR="00B12408">
        <w:t xml:space="preserve"> </w:t>
      </w:r>
      <w:r w:rsidR="00791C60">
        <w:t>but</w:t>
      </w:r>
      <w:r w:rsidR="00B12408">
        <w:t xml:space="preserve"> the b</w:t>
      </w:r>
      <w:r w:rsidR="00791C60">
        <w:t>u</w:t>
      </w:r>
      <w:r w:rsidR="00B12408">
        <w:t>lk</w:t>
      </w:r>
      <w:r w:rsidR="00791C60">
        <w:t xml:space="preserve"> of consumption</w:t>
      </w:r>
      <w:r w:rsidR="00B12408">
        <w:t xml:space="preserve"> </w:t>
      </w:r>
      <w:r w:rsidR="00BD7857">
        <w:t>is i</w:t>
      </w:r>
      <w:r w:rsidR="00791C60">
        <w:t>n</w:t>
      </w:r>
      <w:r w:rsidR="00B12408">
        <w:t xml:space="preserve"> </w:t>
      </w:r>
      <w:r w:rsidR="00791C60">
        <w:t>the</w:t>
      </w:r>
      <w:r w:rsidR="00B12408">
        <w:t xml:space="preserve"> upper half of the </w:t>
      </w:r>
      <w:r w:rsidR="00791C60">
        <w:t>income</w:t>
      </w:r>
      <w:r w:rsidR="00B12408">
        <w:t xml:space="preserve"> </w:t>
      </w:r>
      <w:r w:rsidR="00791C60">
        <w:t>distribution. Because</w:t>
      </w:r>
      <w:r>
        <w:t xml:space="preserve"> of the elastic demand and growth in per capita inc</w:t>
      </w:r>
      <w:r w:rsidR="00083107">
        <w:t xml:space="preserve">ome the price of </w:t>
      </w:r>
      <w:proofErr w:type="spellStart"/>
      <w:r w:rsidR="00083107">
        <w:t>teff</w:t>
      </w:r>
      <w:proofErr w:type="spellEnd"/>
      <w:r w:rsidR="00083107">
        <w:t xml:space="preserve"> has </w:t>
      </w:r>
      <w:r>
        <w:t>rise</w:t>
      </w:r>
      <w:r w:rsidR="00083107">
        <w:t>n</w:t>
      </w:r>
      <w:r>
        <w:t xml:space="preserve"> relative to other cereals. </w:t>
      </w:r>
      <w:r w:rsidR="00F9550C">
        <w:t xml:space="preserve">Thus </w:t>
      </w:r>
      <w:proofErr w:type="spellStart"/>
      <w:r w:rsidR="00F9550C">
        <w:t>teff</w:t>
      </w:r>
      <w:proofErr w:type="spellEnd"/>
      <w:r w:rsidR="00F9550C">
        <w:t xml:space="preserve"> has faced the most favorable price relatives among the cereals (Figure 1.) Of course Ethiopia does not differ from other counties in having an income elastic cereal –e.g. Basmati rice in South Asia, and premium rice variety’s in Southeast Asia.</w:t>
      </w:r>
    </w:p>
    <w:p w:rsidR="00F206B7" w:rsidRDefault="00F206B7" w:rsidP="005B21A4">
      <w:pPr>
        <w:spacing w:line="480" w:lineRule="auto"/>
      </w:pPr>
      <w:r>
        <w:t>Insert figure 1</w:t>
      </w:r>
    </w:p>
    <w:p w:rsidR="00F9550C" w:rsidRDefault="00F9550C" w:rsidP="005B21A4">
      <w:pPr>
        <w:spacing w:line="480" w:lineRule="auto"/>
      </w:pPr>
      <w:proofErr w:type="spellStart"/>
      <w:r>
        <w:lastRenderedPageBreak/>
        <w:t>Teff’s</w:t>
      </w:r>
      <w:proofErr w:type="spellEnd"/>
      <w:r>
        <w:t xml:space="preserve"> growth rate accelerated by over one-quarter between the two periods. That is more than any other cereal. </w:t>
      </w:r>
      <w:proofErr w:type="spellStart"/>
      <w:r>
        <w:t>Teff</w:t>
      </w:r>
      <w:proofErr w:type="spellEnd"/>
      <w:r>
        <w:t xml:space="preserve"> had the highest growth rate, except for the minor cereal, sorghum, in the more recent period of any of the four cereals. There is a logical explanation of the substantial acceleration. Six years ago a new variety, </w:t>
      </w:r>
      <w:proofErr w:type="spellStart"/>
      <w:r>
        <w:t>Kuncho</w:t>
      </w:r>
      <w:proofErr w:type="spellEnd"/>
      <w:r>
        <w:t xml:space="preserve">, was released and spread rapidly with a major impact on fertilizer use (Minton et.al.2013.) Here we have an internal consistency check on the data. The difference in acceleration among crops is consistent with independent information on causes of that differential. See also the finding on wheat, below. </w:t>
      </w:r>
    </w:p>
    <w:p w:rsidR="009E50DE" w:rsidRDefault="009E50DE" w:rsidP="005B21A4">
      <w:pPr>
        <w:spacing w:line="480" w:lineRule="auto"/>
      </w:pPr>
      <w:r>
        <w:t xml:space="preserve">Relevant to the later exposition of sources of growth and to the internal consistency of the data, the rapid spread of </w:t>
      </w:r>
      <w:proofErr w:type="spellStart"/>
      <w:r>
        <w:t>Kuncho</w:t>
      </w:r>
      <w:proofErr w:type="spellEnd"/>
      <w:r w:rsidR="00221A2C">
        <w:t xml:space="preserve">, an improved </w:t>
      </w:r>
      <w:proofErr w:type="spellStart"/>
      <w:r w:rsidR="00221A2C">
        <w:t>teff</w:t>
      </w:r>
      <w:proofErr w:type="spellEnd"/>
      <w:r w:rsidR="00221A2C">
        <w:t xml:space="preserve"> variety,</w:t>
      </w:r>
      <w:r>
        <w:t xml:space="preserve"> – 30 percent area coverage after three years - shows that the seed multiplication system for open pollinated varieties now has capacity for rapid expansion.</w:t>
      </w:r>
      <w:r>
        <w:rPr>
          <w:rStyle w:val="FootnoteReference"/>
        </w:rPr>
        <w:footnoteReference w:id="6"/>
      </w:r>
      <w:r>
        <w:t xml:space="preserve"> This effect of technology was reinforced by the more favorable price relationships for </w:t>
      </w:r>
      <w:proofErr w:type="spellStart"/>
      <w:r>
        <w:t>teff</w:t>
      </w:r>
      <w:proofErr w:type="spellEnd"/>
      <w:r>
        <w:t xml:space="preserve"> relative to other cereals. </w:t>
      </w:r>
    </w:p>
    <w:p w:rsidR="006904AF" w:rsidRDefault="006904AF" w:rsidP="005B21A4">
      <w:pPr>
        <w:spacing w:line="480" w:lineRule="auto"/>
      </w:pPr>
      <w:r>
        <w:t xml:space="preserve">For </w:t>
      </w:r>
      <w:proofErr w:type="spellStart"/>
      <w:r>
        <w:t>teff</w:t>
      </w:r>
      <w:proofErr w:type="spellEnd"/>
      <w:r w:rsidR="001702D4">
        <w:t>,</w:t>
      </w:r>
      <w:r>
        <w:t xml:space="preserve"> area increase accounted for about one-quarter of the production increase for the full 16 years, but increased to nearly 40 perce</w:t>
      </w:r>
      <w:r w:rsidR="00B12408">
        <w:t>nt for the most recent 12 years</w:t>
      </w:r>
      <w:r>
        <w:t xml:space="preserve">. </w:t>
      </w:r>
      <w:r w:rsidR="00BD7857">
        <w:t>That is presumably because of the impact on profitability of the combination of technology and price.</w:t>
      </w:r>
    </w:p>
    <w:p w:rsidR="009E50DE" w:rsidRDefault="009E50DE" w:rsidP="005B21A4">
      <w:pPr>
        <w:spacing w:line="480" w:lineRule="auto"/>
        <w:rPr>
          <w:u w:val="single"/>
        </w:rPr>
      </w:pPr>
      <w:r>
        <w:rPr>
          <w:u w:val="single"/>
        </w:rPr>
        <w:t>Wheat</w:t>
      </w:r>
    </w:p>
    <w:p w:rsidR="002442ED" w:rsidRDefault="009E50DE" w:rsidP="005B21A4">
      <w:pPr>
        <w:spacing w:line="480" w:lineRule="auto"/>
      </w:pPr>
      <w:r>
        <w:t>Among the four cereals, wheat had the slowest growth rate for the 16 year period and is the only one decelerating in the more recent period. Again this is a test of internal consistency of the data. The area growth rate slowed by nearly one-third between the two periods while yield and total production</w:t>
      </w:r>
      <w:r w:rsidR="004913F7">
        <w:t xml:space="preserve"> growth rate</w:t>
      </w:r>
      <w:r>
        <w:t xml:space="preserve"> declined by about 10 percent between the periods. Wheat rust has been a particularly </w:t>
      </w:r>
      <w:r>
        <w:lastRenderedPageBreak/>
        <w:t xml:space="preserve">serious problem in the recent years, explaining the deceleration. That problem plus the poorest price performance among the four cereals would explain both the lower growth rate and the deceleration. </w:t>
      </w:r>
    </w:p>
    <w:p w:rsidR="001702D4" w:rsidRDefault="009E50DE" w:rsidP="005B21A4">
      <w:pPr>
        <w:spacing w:line="480" w:lineRule="auto"/>
      </w:pPr>
      <w:r>
        <w:t>The growth rate in p</w:t>
      </w:r>
      <w:r w:rsidR="00751D90">
        <w:t>roduction for the 16 years</w:t>
      </w:r>
      <w:r>
        <w:t xml:space="preserve"> was 5.8 percent – a still impressive number.  It slowed to 5.1 percent in the more recent period. Area increase was the slowest for the four cereals, at </w:t>
      </w:r>
      <w:r w:rsidR="00751D90">
        <w:t xml:space="preserve">a </w:t>
      </w:r>
      <w:r>
        <w:t>1.5 percent growth rate in the more recent period. This is a good case of improved technology over-balancing a moderately unfavorable trend in prices. That is of course very good for poor people as will be discussed later.</w:t>
      </w:r>
    </w:p>
    <w:p w:rsidR="009E50DE" w:rsidRPr="000A7F81" w:rsidRDefault="009E50DE" w:rsidP="005B21A4">
      <w:pPr>
        <w:spacing w:line="480" w:lineRule="auto"/>
        <w:rPr>
          <w:u w:val="single"/>
        </w:rPr>
      </w:pPr>
      <w:r>
        <w:rPr>
          <w:u w:val="single"/>
        </w:rPr>
        <w:t>Maize</w:t>
      </w:r>
    </w:p>
    <w:p w:rsidR="009E50DE" w:rsidRDefault="009E50DE" w:rsidP="005B21A4">
      <w:pPr>
        <w:spacing w:line="480" w:lineRule="auto"/>
      </w:pPr>
      <w:r>
        <w:t>Maize, not surprisingly, has shown substantial acceleration in the growth rate for yield. That has driven acceleration in the rate of growth in area and in the overall rate of growth. This is also an internal consistency check on the data. The improvement in the hybrid seed multiplication system has been substantial in recent years, greatly accelerating the spread of hybrid varieties and the intensity of fertilizer use</w:t>
      </w:r>
      <w:r w:rsidR="00A212FE">
        <w:t xml:space="preserve"> on maize</w:t>
      </w:r>
      <w:r>
        <w:t>.</w:t>
      </w:r>
    </w:p>
    <w:p w:rsidR="00D739FA" w:rsidRDefault="009E50DE" w:rsidP="005B21A4">
      <w:pPr>
        <w:spacing w:line="480" w:lineRule="auto"/>
      </w:pPr>
      <w:r>
        <w:t>The maize production growth rate, an impressive 7.2 percent in the more recent period, accelerated by 26</w:t>
      </w:r>
      <w:r w:rsidR="00F206B7">
        <w:t xml:space="preserve"> percent f</w:t>
      </w:r>
      <w:r w:rsidR="00D739FA">
        <w:t>r</w:t>
      </w:r>
      <w:r w:rsidR="00F206B7">
        <w:t>om</w:t>
      </w:r>
      <w:r>
        <w:t xml:space="preserve"> the full period. The area growth rate accelerated by 29 percent and the yield growth rate by 23 percent - consistent with each other and with what we know about the improvement in seed production. </w:t>
      </w:r>
    </w:p>
    <w:p w:rsidR="009E50DE" w:rsidRDefault="009E50DE" w:rsidP="005B21A4">
      <w:pPr>
        <w:spacing w:line="480" w:lineRule="auto"/>
        <w:rPr>
          <w:u w:val="single"/>
        </w:rPr>
      </w:pPr>
      <w:r>
        <w:rPr>
          <w:u w:val="single"/>
        </w:rPr>
        <w:t>Sorghum</w:t>
      </w:r>
    </w:p>
    <w:p w:rsidR="009E50DE" w:rsidRDefault="009E50DE" w:rsidP="005B21A4">
      <w:pPr>
        <w:spacing w:line="480" w:lineRule="auto"/>
      </w:pPr>
      <w:r w:rsidRPr="008E2ED3">
        <w:t xml:space="preserve"> </w:t>
      </w:r>
      <w:r w:rsidR="00CD0799">
        <w:t>The sorghum growth rat</w:t>
      </w:r>
      <w:r w:rsidR="00791C60">
        <w:t xml:space="preserve">e </w:t>
      </w:r>
      <w:r w:rsidR="002442ED">
        <w:t xml:space="preserve">has accelerated </w:t>
      </w:r>
      <w:r w:rsidR="00791C60">
        <w:t>from 7.8</w:t>
      </w:r>
      <w:r w:rsidR="00CD0799">
        <w:t xml:space="preserve"> per</w:t>
      </w:r>
      <w:r w:rsidR="00791C60">
        <w:t>ce</w:t>
      </w:r>
      <w:r w:rsidR="002442ED">
        <w:t xml:space="preserve">nt to </w:t>
      </w:r>
      <w:r w:rsidR="00CD0799">
        <w:t>8.0</w:t>
      </w:r>
      <w:r>
        <w:t xml:space="preserve"> percent with area increase accounting for nearly half of the production growth rate.</w:t>
      </w:r>
      <w:r w:rsidR="00CD0799">
        <w:t xml:space="preserve"> Those were the </w:t>
      </w:r>
      <w:r w:rsidR="00791C60">
        <w:t>highest</w:t>
      </w:r>
      <w:r w:rsidR="00CD0799">
        <w:t xml:space="preserve"> growth rates of the set of four cereals with </w:t>
      </w:r>
      <w:r w:rsidR="00791C60">
        <w:t>much</w:t>
      </w:r>
      <w:r w:rsidR="00CD0799">
        <w:t xml:space="preserve"> faster area growth </w:t>
      </w:r>
      <w:r w:rsidR="00791C60">
        <w:t>accounting</w:t>
      </w:r>
      <w:r w:rsidR="00CD0799">
        <w:t xml:space="preserve"> for the </w:t>
      </w:r>
      <w:r w:rsidR="00791C60">
        <w:t>high</w:t>
      </w:r>
      <w:r w:rsidR="001702D4">
        <w:t>er</w:t>
      </w:r>
      <w:r w:rsidR="00CD0799">
        <w:t xml:space="preserve"> </w:t>
      </w:r>
      <w:r w:rsidR="00791C60">
        <w:t>rate of</w:t>
      </w:r>
      <w:r w:rsidR="00CD0799">
        <w:t xml:space="preserve"> growth. The yield </w:t>
      </w:r>
      <w:r w:rsidR="00791C60">
        <w:t>performance</w:t>
      </w:r>
      <w:r w:rsidR="00CD0799">
        <w:t xml:space="preserve"> was </w:t>
      </w:r>
      <w:r w:rsidR="00791C60">
        <w:t>slightly</w:t>
      </w:r>
      <w:r w:rsidR="00CD0799">
        <w:t xml:space="preserve"> lower </w:t>
      </w:r>
      <w:r w:rsidR="00791C60">
        <w:t>than</w:t>
      </w:r>
      <w:r w:rsidR="00CD0799">
        <w:t xml:space="preserve"> that for maize.</w:t>
      </w:r>
      <w:r w:rsidR="000F62D1">
        <w:t xml:space="preserve"> Sorghum is the least important of the four cereals.</w:t>
      </w:r>
    </w:p>
    <w:p w:rsidR="00CD0799" w:rsidRDefault="00791C60" w:rsidP="005B21A4">
      <w:pPr>
        <w:spacing w:line="480" w:lineRule="auto"/>
        <w:rPr>
          <w:u w:val="single"/>
        </w:rPr>
      </w:pPr>
      <w:r>
        <w:rPr>
          <w:u w:val="single"/>
        </w:rPr>
        <w:lastRenderedPageBreak/>
        <w:t>Summary</w:t>
      </w:r>
      <w:r w:rsidR="002442ED">
        <w:rPr>
          <w:u w:val="single"/>
        </w:rPr>
        <w:t xml:space="preserve"> o</w:t>
      </w:r>
      <w:r w:rsidR="00CD0799">
        <w:rPr>
          <w:u w:val="single"/>
        </w:rPr>
        <w:t xml:space="preserve">f Differences </w:t>
      </w:r>
      <w:proofErr w:type="gramStart"/>
      <w:r w:rsidR="00CD0799">
        <w:rPr>
          <w:u w:val="single"/>
        </w:rPr>
        <w:t>Among</w:t>
      </w:r>
      <w:proofErr w:type="gramEnd"/>
      <w:r w:rsidR="00204491">
        <w:rPr>
          <w:u w:val="single"/>
        </w:rPr>
        <w:t xml:space="preserve"> </w:t>
      </w:r>
      <w:r w:rsidR="00CD0799">
        <w:rPr>
          <w:u w:val="single"/>
        </w:rPr>
        <w:t>Cereals</w:t>
      </w:r>
    </w:p>
    <w:p w:rsidR="00CD0799" w:rsidRDefault="00CD0799" w:rsidP="005B21A4">
      <w:pPr>
        <w:spacing w:line="480" w:lineRule="auto"/>
      </w:pPr>
      <w:r>
        <w:t xml:space="preserve">The </w:t>
      </w:r>
      <w:r w:rsidR="002442ED">
        <w:t>sa</w:t>
      </w:r>
      <w:r w:rsidR="00791C60">
        <w:t>l</w:t>
      </w:r>
      <w:r w:rsidR="002442ED">
        <w:t>i</w:t>
      </w:r>
      <w:r w:rsidR="00791C60">
        <w:t>ent</w:t>
      </w:r>
      <w:r>
        <w:t xml:space="preserve"> point </w:t>
      </w:r>
      <w:r w:rsidR="00791C60">
        <w:t>about</w:t>
      </w:r>
      <w:r>
        <w:t xml:space="preserve"> the </w:t>
      </w:r>
      <w:r w:rsidR="00791C60">
        <w:t>differences</w:t>
      </w:r>
      <w:r>
        <w:t xml:space="preserve"> </w:t>
      </w:r>
      <w:r w:rsidR="002442ED">
        <w:t>among</w:t>
      </w:r>
      <w:r>
        <w:t xml:space="preserve"> the </w:t>
      </w:r>
      <w:r w:rsidR="00791C60">
        <w:t>cereals</w:t>
      </w:r>
      <w:r>
        <w:t xml:space="preserve"> is that the </w:t>
      </w:r>
      <w:r w:rsidR="00791C60">
        <w:t>differences</w:t>
      </w:r>
      <w:r>
        <w:t xml:space="preserve"> are </w:t>
      </w:r>
      <w:r w:rsidR="00791C60">
        <w:t>significant</w:t>
      </w:r>
      <w:r>
        <w:t xml:space="preserve"> and are </w:t>
      </w:r>
      <w:r w:rsidR="00791C60">
        <w:t>easily</w:t>
      </w:r>
      <w:r>
        <w:t xml:space="preserve"> </w:t>
      </w:r>
      <w:r w:rsidR="00060C66">
        <w:t>explained. That increases</w:t>
      </w:r>
      <w:r>
        <w:t xml:space="preserve"> </w:t>
      </w:r>
      <w:r w:rsidR="00791C60">
        <w:t>confidence</w:t>
      </w:r>
      <w:r>
        <w:t xml:space="preserve"> in the </w:t>
      </w:r>
      <w:r w:rsidR="00791C60">
        <w:t>underlying</w:t>
      </w:r>
      <w:r>
        <w:t xml:space="preserve"> data and analytical methods. It is striking that </w:t>
      </w:r>
      <w:proofErr w:type="spellStart"/>
      <w:r>
        <w:t>teff</w:t>
      </w:r>
      <w:proofErr w:type="spellEnd"/>
      <w:r>
        <w:t xml:space="preserve"> had </w:t>
      </w:r>
      <w:r w:rsidR="00791C60">
        <w:t>the</w:t>
      </w:r>
      <w:r>
        <w:t xml:space="preserve"> highest </w:t>
      </w:r>
      <w:r w:rsidR="00791C60">
        <w:t>growth rate after the mi</w:t>
      </w:r>
      <w:r>
        <w:t>n</w:t>
      </w:r>
      <w:r w:rsidR="00791C60">
        <w:t>o</w:t>
      </w:r>
      <w:r>
        <w:t>r crop,</w:t>
      </w:r>
      <w:r w:rsidR="00791C60">
        <w:t xml:space="preserve"> sor</w:t>
      </w:r>
      <w:r>
        <w:t>ghum</w:t>
      </w:r>
      <w:r w:rsidR="00544773">
        <w:t>,</w:t>
      </w:r>
      <w:r>
        <w:t xml:space="preserve"> and was faster than maize which had all the </w:t>
      </w:r>
      <w:r w:rsidR="00791C60">
        <w:t>advantages of</w:t>
      </w:r>
      <w:r>
        <w:t xml:space="preserve"> </w:t>
      </w:r>
      <w:r w:rsidR="00791C60">
        <w:t>drawing on private sector i</w:t>
      </w:r>
      <w:r>
        <w:t>nternat</w:t>
      </w:r>
      <w:r w:rsidR="00791C60">
        <w:t>io</w:t>
      </w:r>
      <w:r>
        <w:t xml:space="preserve">nal </w:t>
      </w:r>
      <w:r w:rsidR="00060C66">
        <w:t>re</w:t>
      </w:r>
      <w:r w:rsidR="00791C60">
        <w:t>sources</w:t>
      </w:r>
      <w:r>
        <w:t xml:space="preserve"> and large scale </w:t>
      </w:r>
      <w:r w:rsidR="00791C60">
        <w:t>international</w:t>
      </w:r>
      <w:r>
        <w:t xml:space="preserve"> </w:t>
      </w:r>
      <w:r w:rsidR="00791C60">
        <w:t>support</w:t>
      </w:r>
      <w:r>
        <w:t xml:space="preserve"> –</w:t>
      </w:r>
      <w:r w:rsidR="00544773">
        <w:t xml:space="preserve">all </w:t>
      </w:r>
      <w:r w:rsidR="00791C60">
        <w:t>lacking</w:t>
      </w:r>
      <w:r>
        <w:t xml:space="preserve"> for </w:t>
      </w:r>
      <w:proofErr w:type="spellStart"/>
      <w:r>
        <w:t>teff</w:t>
      </w:r>
      <w:proofErr w:type="spellEnd"/>
      <w:r>
        <w:t>. This suggest</w:t>
      </w:r>
      <w:r w:rsidR="00544773">
        <w:t>s</w:t>
      </w:r>
      <w:r>
        <w:t xml:space="preserve"> </w:t>
      </w:r>
      <w:r w:rsidR="00791C60">
        <w:t>that</w:t>
      </w:r>
      <w:r>
        <w:t xml:space="preserve"> </w:t>
      </w:r>
      <w:r w:rsidR="00791C60">
        <w:t>the</w:t>
      </w:r>
      <w:r>
        <w:t xml:space="preserve"> </w:t>
      </w:r>
      <w:r w:rsidR="00791C60">
        <w:t>Government</w:t>
      </w:r>
      <w:r>
        <w:t xml:space="preserve"> made</w:t>
      </w:r>
      <w:r w:rsidR="00791C60">
        <w:t xml:space="preserve"> </w:t>
      </w:r>
      <w:r>
        <w:t>allocat</w:t>
      </w:r>
      <w:r w:rsidR="00791C60">
        <w:t>io</w:t>
      </w:r>
      <w:r>
        <w:t xml:space="preserve">ns according to its </w:t>
      </w:r>
      <w:r w:rsidR="00791C60">
        <w:t>judgment</w:t>
      </w:r>
      <w:r>
        <w:t xml:space="preserve"> of the </w:t>
      </w:r>
      <w:r w:rsidR="00791C60">
        <w:t>importance</w:t>
      </w:r>
      <w:r>
        <w:t xml:space="preserve"> </w:t>
      </w:r>
      <w:r w:rsidR="00791C60">
        <w:t>of</w:t>
      </w:r>
      <w:r>
        <w:t xml:space="preserve"> the commodity </w:t>
      </w:r>
      <w:r w:rsidR="00791C60">
        <w:t>and</w:t>
      </w:r>
      <w:r>
        <w:t xml:space="preserve"> </w:t>
      </w:r>
      <w:r w:rsidR="002442ED">
        <w:t>compensated</w:t>
      </w:r>
      <w:r>
        <w:t xml:space="preserve"> for </w:t>
      </w:r>
      <w:r w:rsidR="00791C60">
        <w:t>the</w:t>
      </w:r>
      <w:r>
        <w:t xml:space="preserve"> </w:t>
      </w:r>
      <w:r w:rsidR="002442ED">
        <w:t>lack of</w:t>
      </w:r>
      <w:r>
        <w:t xml:space="preserve"> </w:t>
      </w:r>
      <w:r w:rsidR="00791C60">
        <w:t>f</w:t>
      </w:r>
      <w:r w:rsidR="002442ED">
        <w:t>oreign</w:t>
      </w:r>
      <w:r>
        <w:t xml:space="preserve"> </w:t>
      </w:r>
      <w:r w:rsidR="002442ED">
        <w:t>a</w:t>
      </w:r>
      <w:r>
        <w:t>id</w:t>
      </w:r>
      <w:r w:rsidR="00544773">
        <w:t xml:space="preserve"> to </w:t>
      </w:r>
      <w:proofErr w:type="spellStart"/>
      <w:r w:rsidR="00544773">
        <w:t>teff</w:t>
      </w:r>
      <w:proofErr w:type="spellEnd"/>
      <w:r>
        <w:t xml:space="preserve">. </w:t>
      </w:r>
      <w:r w:rsidR="00544773">
        <w:t xml:space="preserve">Perhaps the </w:t>
      </w:r>
      <w:proofErr w:type="spellStart"/>
      <w:r w:rsidR="00544773">
        <w:t>teff</w:t>
      </w:r>
      <w:proofErr w:type="spellEnd"/>
      <w:r w:rsidR="00544773">
        <w:t xml:space="preserve"> researchers were also lucky! </w:t>
      </w:r>
      <w:r>
        <w:t xml:space="preserve">The government of </w:t>
      </w:r>
      <w:r w:rsidR="00791C60">
        <w:t>Ethiopia</w:t>
      </w:r>
      <w:r w:rsidR="002442ED">
        <w:t xml:space="preserve"> doe</w:t>
      </w:r>
      <w:r>
        <w:t>s</w:t>
      </w:r>
      <w:r w:rsidR="002442ED">
        <w:t xml:space="preserve"> s</w:t>
      </w:r>
      <w:r>
        <w:t xml:space="preserve">eem to be </w:t>
      </w:r>
      <w:r w:rsidR="00791C60">
        <w:t>guide</w:t>
      </w:r>
      <w:r w:rsidR="002442ED">
        <w:t>d</w:t>
      </w:r>
      <w:r>
        <w:t xml:space="preserve"> by its own analyses of rates of return in </w:t>
      </w:r>
      <w:r w:rsidR="00791C60">
        <w:t>achieving</w:t>
      </w:r>
      <w:r>
        <w:t xml:space="preserve"> it</w:t>
      </w:r>
      <w:r w:rsidR="002442ED">
        <w:t>s</w:t>
      </w:r>
      <w:r>
        <w:t xml:space="preserve"> </w:t>
      </w:r>
      <w:r w:rsidR="00791C60">
        <w:t>explicit</w:t>
      </w:r>
      <w:r w:rsidR="002442ED">
        <w:t xml:space="preserve"> </w:t>
      </w:r>
      <w:r>
        <w:t xml:space="preserve">growth </w:t>
      </w:r>
      <w:r w:rsidR="00791C60">
        <w:t>targets. That is undoubtedly</w:t>
      </w:r>
      <w:r w:rsidR="002442ED">
        <w:t xml:space="preserve"> an</w:t>
      </w:r>
      <w:r>
        <w:t xml:space="preserve"> </w:t>
      </w:r>
      <w:r w:rsidR="00791C60">
        <w:t>important</w:t>
      </w:r>
      <w:r>
        <w:t xml:space="preserve"> </w:t>
      </w:r>
      <w:r w:rsidR="002442ED">
        <w:t>explanation</w:t>
      </w:r>
      <w:r>
        <w:t xml:space="preserve"> of its success.</w:t>
      </w:r>
    </w:p>
    <w:p w:rsidR="00CD0799" w:rsidRPr="00CD0799" w:rsidRDefault="002442ED" w:rsidP="005B21A4">
      <w:pPr>
        <w:spacing w:line="480" w:lineRule="auto"/>
      </w:pPr>
      <w:r>
        <w:t>R</w:t>
      </w:r>
      <w:r w:rsidR="00791C60">
        <w:t>elative pric</w:t>
      </w:r>
      <w:r w:rsidR="00CD0799">
        <w:t>e</w:t>
      </w:r>
      <w:r w:rsidR="00791C60">
        <w:t xml:space="preserve"> behavior</w:t>
      </w:r>
      <w:r w:rsidR="00273A55">
        <w:t xml:space="preserve"> is associated with </w:t>
      </w:r>
      <w:r>
        <w:t>differences i</w:t>
      </w:r>
      <w:r w:rsidR="00CD0799">
        <w:t xml:space="preserve">n performance. </w:t>
      </w:r>
      <w:r w:rsidR="00791C60">
        <w:t>The</w:t>
      </w:r>
      <w:r w:rsidR="00CD0799">
        <w:t xml:space="preserve"> worst </w:t>
      </w:r>
      <w:r w:rsidR="00791C60">
        <w:t>performing</w:t>
      </w:r>
      <w:r w:rsidR="00CD0799">
        <w:t xml:space="preserve"> crop is wheat </w:t>
      </w:r>
      <w:r w:rsidR="00791C60">
        <w:t>which</w:t>
      </w:r>
      <w:r w:rsidR="00CD0799">
        <w:t xml:space="preserve"> </w:t>
      </w:r>
      <w:r w:rsidR="00791C60">
        <w:t>had</w:t>
      </w:r>
      <w:r w:rsidR="00CD0799">
        <w:t xml:space="preserve"> the </w:t>
      </w:r>
      <w:r w:rsidR="00791C60">
        <w:t>poorest</w:t>
      </w:r>
      <w:r w:rsidR="00CD0799">
        <w:t xml:space="preserve"> </w:t>
      </w:r>
      <w:r w:rsidR="00791C60">
        <w:t>relative</w:t>
      </w:r>
      <w:r w:rsidR="00CD0799">
        <w:t xml:space="preserve"> </w:t>
      </w:r>
      <w:r w:rsidR="00791C60">
        <w:t>price</w:t>
      </w:r>
      <w:r w:rsidR="00CD0799">
        <w:t xml:space="preserve"> </w:t>
      </w:r>
      <w:r w:rsidR="00791C60">
        <w:t>behavior</w:t>
      </w:r>
      <w:r w:rsidR="00CD0799">
        <w:t xml:space="preserve"> and the best is </w:t>
      </w:r>
      <w:proofErr w:type="spellStart"/>
      <w:r w:rsidR="00CD0799">
        <w:t>teff</w:t>
      </w:r>
      <w:proofErr w:type="spellEnd"/>
      <w:r w:rsidR="00791C60">
        <w:t xml:space="preserve"> with</w:t>
      </w:r>
      <w:r w:rsidR="00CD0799">
        <w:t xml:space="preserve"> the best price</w:t>
      </w:r>
      <w:r w:rsidR="00791C60">
        <w:t xml:space="preserve"> behavior</w:t>
      </w:r>
      <w:r w:rsidR="00CD0799">
        <w:t>.</w:t>
      </w:r>
      <w:r w:rsidR="00791C60">
        <w:t xml:space="preserve"> Of course all th</w:t>
      </w:r>
      <w:r w:rsidR="00204491">
        <w:t xml:space="preserve">e </w:t>
      </w:r>
      <w:r w:rsidR="00791C60">
        <w:t>crops did well irrespective of pric</w:t>
      </w:r>
      <w:r w:rsidR="00204491">
        <w:t>e</w:t>
      </w:r>
      <w:r w:rsidR="00791C60">
        <w:t xml:space="preserve"> </w:t>
      </w:r>
      <w:r w:rsidR="00204491">
        <w:t xml:space="preserve">behavior and </w:t>
      </w:r>
      <w:r w:rsidR="00791C60">
        <w:t>hence the technological</w:t>
      </w:r>
      <w:r w:rsidR="00204491">
        <w:t xml:space="preserve"> </w:t>
      </w:r>
      <w:r w:rsidR="00791C60">
        <w:t>factors</w:t>
      </w:r>
      <w:r w:rsidR="00204491">
        <w:t xml:space="preserve"> are </w:t>
      </w:r>
      <w:r w:rsidR="00791C60">
        <w:t>clearly</w:t>
      </w:r>
      <w:r w:rsidR="00204491">
        <w:t xml:space="preserve"> </w:t>
      </w:r>
      <w:r w:rsidR="00DE62AB">
        <w:t>mor</w:t>
      </w:r>
      <w:r w:rsidR="00204491">
        <w:t>e</w:t>
      </w:r>
      <w:r w:rsidR="00DE62AB">
        <w:t xml:space="preserve"> important</w:t>
      </w:r>
      <w:r w:rsidR="00204491">
        <w:t xml:space="preserve"> </w:t>
      </w:r>
      <w:r w:rsidR="00DE62AB">
        <w:t>than price</w:t>
      </w:r>
      <w:r w:rsidR="00204491">
        <w:t>.</w:t>
      </w:r>
    </w:p>
    <w:p w:rsidR="004672AF" w:rsidRDefault="00204491" w:rsidP="005B21A4">
      <w:pPr>
        <w:spacing w:line="480" w:lineRule="auto"/>
        <w:rPr>
          <w:u w:val="single"/>
        </w:rPr>
      </w:pPr>
      <w:r>
        <w:rPr>
          <w:u w:val="single"/>
        </w:rPr>
        <w:t>Sources of Growth</w:t>
      </w:r>
    </w:p>
    <w:p w:rsidR="00D47A56" w:rsidRPr="004672AF" w:rsidRDefault="004672AF" w:rsidP="005B21A4">
      <w:pPr>
        <w:spacing w:line="480" w:lineRule="auto"/>
      </w:pPr>
      <w:r>
        <w:t>Two features distinguish the sour</w:t>
      </w:r>
      <w:r w:rsidR="00DE62AB">
        <w:t>c</w:t>
      </w:r>
      <w:r>
        <w:t>es</w:t>
      </w:r>
      <w:r w:rsidR="00DE62AB">
        <w:t xml:space="preserve"> </w:t>
      </w:r>
      <w:r>
        <w:t xml:space="preserve">of </w:t>
      </w:r>
      <w:r w:rsidR="00DE62AB">
        <w:t>rapid</w:t>
      </w:r>
      <w:r>
        <w:t xml:space="preserve"> growth in</w:t>
      </w:r>
      <w:r w:rsidR="00DE62AB">
        <w:t xml:space="preserve"> Ethiopian</w:t>
      </w:r>
      <w:r>
        <w:t xml:space="preserve"> cereal</w:t>
      </w:r>
      <w:r w:rsidR="00DE62AB">
        <w:t xml:space="preserve"> product</w:t>
      </w:r>
      <w:r w:rsidR="00CD4E08">
        <w:t>ion. First is a constant.  T</w:t>
      </w:r>
      <w:r>
        <w:t xml:space="preserve">he output </w:t>
      </w:r>
      <w:r w:rsidR="00CD4E08">
        <w:t xml:space="preserve">growth </w:t>
      </w:r>
      <w:r w:rsidR="00DE62AB">
        <w:t>come</w:t>
      </w:r>
      <w:r w:rsidR="002442ED">
        <w:t>s</w:t>
      </w:r>
      <w:r>
        <w:t xml:space="preserve"> </w:t>
      </w:r>
      <w:r w:rsidR="00CD4E08">
        <w:t xml:space="preserve">largely </w:t>
      </w:r>
      <w:r>
        <w:t xml:space="preserve">from </w:t>
      </w:r>
      <w:r w:rsidR="00CD4E08">
        <w:t xml:space="preserve">the </w:t>
      </w:r>
      <w:r>
        <w:t>small</w:t>
      </w:r>
      <w:r w:rsidR="00DE62AB">
        <w:t xml:space="preserve"> commercial</w:t>
      </w:r>
      <w:r>
        <w:t xml:space="preserve"> </w:t>
      </w:r>
      <w:r w:rsidR="00DE62AB">
        <w:t>farmers</w:t>
      </w:r>
      <w:r>
        <w:t xml:space="preserve"> –</w:t>
      </w:r>
      <w:r w:rsidR="00DE62AB">
        <w:t>holdings</w:t>
      </w:r>
      <w:r w:rsidR="002442ED">
        <w:t xml:space="preserve"> of</w:t>
      </w:r>
      <w:r w:rsidR="00D47A56">
        <w:t xml:space="preserve"> say </w:t>
      </w:r>
      <w:r w:rsidR="00F206B7">
        <w:t xml:space="preserve">0.75 to 5 </w:t>
      </w:r>
      <w:r>
        <w:t xml:space="preserve">hectares. Large </w:t>
      </w:r>
      <w:r w:rsidR="00DE62AB">
        <w:t>scale</w:t>
      </w:r>
      <w:r>
        <w:t xml:space="preserve"> </w:t>
      </w:r>
      <w:r w:rsidR="00DE62AB">
        <w:t>commercial</w:t>
      </w:r>
      <w:r>
        <w:t xml:space="preserve"> farms had a </w:t>
      </w:r>
      <w:r w:rsidR="00CD4E08">
        <w:t>n</w:t>
      </w:r>
      <w:r w:rsidR="00DE62AB">
        <w:t>eg</w:t>
      </w:r>
      <w:r w:rsidR="00CD4E08">
        <w:t>l</w:t>
      </w:r>
      <w:r w:rsidR="00DE62AB">
        <w:t>i</w:t>
      </w:r>
      <w:r w:rsidR="00CD4E08">
        <w:t>gi</w:t>
      </w:r>
      <w:r w:rsidR="00DE62AB">
        <w:t>ble</w:t>
      </w:r>
      <w:r>
        <w:t xml:space="preserve"> </w:t>
      </w:r>
      <w:r w:rsidR="00DE62AB">
        <w:t>impact</w:t>
      </w:r>
      <w:r>
        <w:t xml:space="preserve"> </w:t>
      </w:r>
      <w:r w:rsidR="00CD4E08">
        <w:t>o</w:t>
      </w:r>
      <w:r>
        <w:t>n t</w:t>
      </w:r>
      <w:r w:rsidR="005950FF">
        <w:t>he growth rate, as did those with less than 0.75 hectares.</w:t>
      </w:r>
      <w:r w:rsidR="00CD4E08">
        <w:t xml:space="preserve"> Second is a variable, </w:t>
      </w:r>
      <w:r w:rsidR="00DE62AB">
        <w:t>the</w:t>
      </w:r>
      <w:r>
        <w:t xml:space="preserve"> </w:t>
      </w:r>
      <w:r w:rsidR="00DE62AB">
        <w:t>sources</w:t>
      </w:r>
      <w:r>
        <w:t xml:space="preserve"> of </w:t>
      </w:r>
      <w:r w:rsidR="00DE62AB">
        <w:t>growth have</w:t>
      </w:r>
      <w:r>
        <w:t xml:space="preserve"> changed over </w:t>
      </w:r>
      <w:r w:rsidR="00DE62AB">
        <w:t>time</w:t>
      </w:r>
      <w:r>
        <w:t xml:space="preserve"> </w:t>
      </w:r>
      <w:r w:rsidR="00DE62AB">
        <w:t>with</w:t>
      </w:r>
      <w:r>
        <w:t xml:space="preserve"> </w:t>
      </w:r>
      <w:r w:rsidR="00DE62AB">
        <w:t>the government</w:t>
      </w:r>
      <w:r>
        <w:t xml:space="preserve"> </w:t>
      </w:r>
      <w:r w:rsidR="00DE62AB">
        <w:t>displaying a pragmatic approa</w:t>
      </w:r>
      <w:r>
        <w:t>ch.</w:t>
      </w:r>
      <w:r w:rsidR="006B7AD7">
        <w:t xml:space="preserve"> </w:t>
      </w:r>
    </w:p>
    <w:p w:rsidR="0050078F" w:rsidRDefault="00204491" w:rsidP="005B21A4">
      <w:pPr>
        <w:spacing w:line="480" w:lineRule="auto"/>
      </w:pPr>
      <w:r>
        <w:t xml:space="preserve">Small Commercial Farmer: </w:t>
      </w:r>
      <w:r w:rsidR="00183DC9">
        <w:t xml:space="preserve"> </w:t>
      </w:r>
    </w:p>
    <w:p w:rsidR="001A35B9" w:rsidRDefault="00CD4E08" w:rsidP="005B21A4">
      <w:pPr>
        <w:spacing w:line="480" w:lineRule="auto"/>
      </w:pPr>
      <w:r>
        <w:lastRenderedPageBreak/>
        <w:t>The small commercial farmer</w:t>
      </w:r>
      <w:r w:rsidR="0050078F">
        <w:t xml:space="preserve">s </w:t>
      </w:r>
      <w:r>
        <w:t xml:space="preserve">are </w:t>
      </w:r>
      <w:r w:rsidR="00D739FA">
        <w:t xml:space="preserve">defined here as </w:t>
      </w:r>
      <w:r w:rsidR="00312B2E">
        <w:t>those</w:t>
      </w:r>
      <w:r w:rsidR="0050078F">
        <w:t xml:space="preserve"> with enough land </w:t>
      </w:r>
      <w:r>
        <w:t xml:space="preserve">to produce </w:t>
      </w:r>
      <w:r w:rsidR="0050078F">
        <w:t xml:space="preserve">under traditional practices </w:t>
      </w:r>
      <w:r>
        <w:t xml:space="preserve">enough income to meet the poverty line level of basic staples consumption plus the minimum non- food items that complement that level of food consumption – the standard definition of the </w:t>
      </w:r>
      <w:r w:rsidR="00312B2E">
        <w:t xml:space="preserve">World Bank old $1.00 per day </w:t>
      </w:r>
      <w:r>
        <w:t xml:space="preserve">poverty line. </w:t>
      </w:r>
      <w:r w:rsidR="007455DE">
        <w:t>Those would be the farmers with enough land to be fulltime farmer</w:t>
      </w:r>
      <w:r w:rsidR="00626FE0">
        <w:t>s</w:t>
      </w:r>
      <w:r w:rsidR="007455DE">
        <w:t xml:space="preserve">. </w:t>
      </w:r>
      <w:r w:rsidR="001A35B9">
        <w:t xml:space="preserve">That would be </w:t>
      </w:r>
      <w:r w:rsidR="00D739FA">
        <w:t>on average one hectare of land</w:t>
      </w:r>
      <w:r w:rsidR="0069003E">
        <w:t>.</w:t>
      </w:r>
      <w:r w:rsidR="00D739FA">
        <w:t xml:space="preserve"> </w:t>
      </w:r>
      <w:r w:rsidR="0069003E">
        <w:t xml:space="preserve">If currently modern practices are introduced 0.75 hectares of land are required. The more expansionary definition is used in this paper. </w:t>
      </w:r>
      <w:r>
        <w:t xml:space="preserve">Because of past land reforms very little agricultural land is in holdings of greater than five hectares. </w:t>
      </w:r>
      <w:r w:rsidR="00312B2E">
        <w:t>There are large commercial farms that manage about ten percent of the cropland</w:t>
      </w:r>
      <w:r w:rsidR="00910647">
        <w:t xml:space="preserve"> and less than five percent of cereals production</w:t>
      </w:r>
      <w:r w:rsidR="004913F7">
        <w:t>. They tend in place of residence</w:t>
      </w:r>
      <w:r w:rsidR="00312B2E">
        <w:t xml:space="preserve"> and culture not to be part of the rural community, </w:t>
      </w:r>
      <w:r w:rsidR="007455DE">
        <w:t xml:space="preserve">and not to have significant effect in reducing rural poverty - </w:t>
      </w:r>
      <w:r w:rsidR="00312B2E">
        <w:t>point</w:t>
      </w:r>
      <w:r w:rsidR="007455DE">
        <w:t>s</w:t>
      </w:r>
      <w:r w:rsidR="00312B2E">
        <w:t xml:space="preserve"> discussed below in the context of poverty reduction. </w:t>
      </w:r>
    </w:p>
    <w:p w:rsidR="00E83810" w:rsidRDefault="0050078F" w:rsidP="005B21A4">
      <w:pPr>
        <w:spacing w:line="480" w:lineRule="auto"/>
      </w:pPr>
      <w:r>
        <w:t xml:space="preserve">By this definition the small commercial </w:t>
      </w:r>
      <w:r w:rsidR="00E83810">
        <w:t xml:space="preserve">farmer is not </w:t>
      </w:r>
      <w:r w:rsidR="00ED452D">
        <w:t>poor</w:t>
      </w:r>
      <w:r w:rsidR="001767D8">
        <w:t>, is</w:t>
      </w:r>
      <w:r w:rsidR="00E83810">
        <w:t xml:space="preserve"> not </w:t>
      </w:r>
      <w:r w:rsidR="00312B2E">
        <w:t xml:space="preserve">a </w:t>
      </w:r>
      <w:r w:rsidR="00544773">
        <w:t>subsistence</w:t>
      </w:r>
      <w:r w:rsidR="00ED452D">
        <w:t xml:space="preserve"> </w:t>
      </w:r>
      <w:r w:rsidR="004913F7">
        <w:t>farmer,</w:t>
      </w:r>
      <w:r w:rsidR="00312B2E">
        <w:t xml:space="preserve"> is </w:t>
      </w:r>
      <w:r w:rsidR="00544773">
        <w:t>commercial</w:t>
      </w:r>
      <w:r w:rsidR="00E83810">
        <w:t xml:space="preserve">, </w:t>
      </w:r>
      <w:r w:rsidR="00544773">
        <w:t>buying</w:t>
      </w:r>
      <w:r w:rsidR="00E83810">
        <w:t xml:space="preserve"> and selling,</w:t>
      </w:r>
      <w:r w:rsidR="00544773">
        <w:t xml:space="preserve"> </w:t>
      </w:r>
      <w:r w:rsidR="00312B2E">
        <w:t xml:space="preserve">and </w:t>
      </w:r>
      <w:r w:rsidR="00544773">
        <w:t>is sufficiently</w:t>
      </w:r>
      <w:r w:rsidR="00E83810">
        <w:t xml:space="preserve"> employed </w:t>
      </w:r>
      <w:r w:rsidR="004913F7">
        <w:t>o</w:t>
      </w:r>
      <w:r w:rsidR="00544773">
        <w:t>n</w:t>
      </w:r>
      <w:r w:rsidR="00E83810">
        <w:t xml:space="preserve"> the farm to see </w:t>
      </w:r>
      <w:r w:rsidR="00544773">
        <w:t>increasing</w:t>
      </w:r>
      <w:r w:rsidR="00E83810">
        <w:t xml:space="preserve"> </w:t>
      </w:r>
      <w:r w:rsidR="00544773">
        <w:t>farm income</w:t>
      </w:r>
      <w:r w:rsidR="00E83810">
        <w:t xml:space="preserve"> as the way to overall</w:t>
      </w:r>
      <w:r w:rsidR="00544773">
        <w:t xml:space="preserve"> increase </w:t>
      </w:r>
      <w:r w:rsidR="00E83810">
        <w:t xml:space="preserve">in </w:t>
      </w:r>
      <w:r w:rsidR="00544773">
        <w:t>income</w:t>
      </w:r>
      <w:r w:rsidR="00E83810">
        <w:t xml:space="preserve">. </w:t>
      </w:r>
      <w:r w:rsidR="00312B2E">
        <w:t>Most of these farmers have sufficien</w:t>
      </w:r>
      <w:r w:rsidR="004913F7">
        <w:t xml:space="preserve">t income and capital to </w:t>
      </w:r>
      <w:r w:rsidR="00312B2E">
        <w:t>invest in what they see as profitab</w:t>
      </w:r>
      <w:r w:rsidR="002D0AA4">
        <w:t xml:space="preserve">le innovations and to take </w:t>
      </w:r>
      <w:r w:rsidR="00312B2E">
        <w:t>risks to innovate. On risk taking</w:t>
      </w:r>
      <w:r w:rsidR="004913F7">
        <w:t>,</w:t>
      </w:r>
      <w:r w:rsidR="00312B2E">
        <w:t xml:space="preserve"> it is important not to see unwillingness to make unprofitable innovations as risk aversion. They of course face a </w:t>
      </w:r>
      <w:r w:rsidR="00910647">
        <w:t xml:space="preserve">severe </w:t>
      </w:r>
      <w:r w:rsidR="00312B2E">
        <w:t xml:space="preserve">credit constraint </w:t>
      </w:r>
      <w:r w:rsidR="001A35B9">
        <w:t>in the face of large investment opportunities</w:t>
      </w:r>
      <w:r w:rsidR="00312B2E">
        <w:t>.</w:t>
      </w:r>
    </w:p>
    <w:p w:rsidR="002422CD" w:rsidRDefault="00E83810" w:rsidP="005B21A4">
      <w:pPr>
        <w:spacing w:line="480" w:lineRule="auto"/>
      </w:pPr>
      <w:r>
        <w:t xml:space="preserve">Table 2 shows the </w:t>
      </w:r>
      <w:r w:rsidR="00544773">
        <w:t>division</w:t>
      </w:r>
      <w:r w:rsidR="001A35B9">
        <w:t xml:space="preserve"> of land and </w:t>
      </w:r>
      <w:r w:rsidR="0069003E">
        <w:t xml:space="preserve">farms by size class.  The </w:t>
      </w:r>
      <w:r w:rsidR="00544773">
        <w:t>definition</w:t>
      </w:r>
      <w:r w:rsidR="0069003E">
        <w:t xml:space="preserve"> used </w:t>
      </w:r>
      <w:r w:rsidR="00181C81">
        <w:t>require</w:t>
      </w:r>
      <w:r w:rsidR="0069003E">
        <w:t>s</w:t>
      </w:r>
      <w:r w:rsidR="00181C81">
        <w:t xml:space="preserve"> splitting the size class 0.50 to 1.0 hectare. </w:t>
      </w:r>
      <w:r w:rsidR="00312B2E">
        <w:t>The</w:t>
      </w:r>
      <w:r>
        <w:t xml:space="preserve"> table </w:t>
      </w:r>
      <w:r w:rsidR="00544773">
        <w:t>follows</w:t>
      </w:r>
      <w:r>
        <w:t xml:space="preserve"> the CS</w:t>
      </w:r>
      <w:r w:rsidR="00312B2E">
        <w:t>A</w:t>
      </w:r>
      <w:r>
        <w:t xml:space="preserve"> definition of </w:t>
      </w:r>
      <w:r w:rsidR="00544773">
        <w:t>excluding</w:t>
      </w:r>
      <w:r>
        <w:t xml:space="preserve"> large scale farms (over 20 </w:t>
      </w:r>
      <w:r w:rsidR="00544773">
        <w:t>hectares</w:t>
      </w:r>
      <w:r>
        <w:t>)</w:t>
      </w:r>
      <w:r w:rsidR="00FC41E7">
        <w:t xml:space="preserve"> in the upper part and adds them in the lower part.</w:t>
      </w:r>
      <w:r>
        <w:t xml:space="preserve"> </w:t>
      </w:r>
    </w:p>
    <w:p w:rsidR="00626FE0" w:rsidRPr="00FC41E7" w:rsidRDefault="00626FE0" w:rsidP="005B21A4">
      <w:pPr>
        <w:spacing w:line="480" w:lineRule="auto"/>
      </w:pPr>
      <w:r>
        <w:t>Insert table 2</w:t>
      </w:r>
    </w:p>
    <w:p w:rsidR="002D0AA4" w:rsidRDefault="0069003E" w:rsidP="005B21A4">
      <w:pPr>
        <w:spacing w:line="480" w:lineRule="auto"/>
      </w:pPr>
      <w:r>
        <w:t>The table shows</w:t>
      </w:r>
      <w:r w:rsidR="002D0AA4">
        <w:t xml:space="preserve"> 84 percent of production is by small commercial farmers, or if the product of large commercial farmers is added, 86% of pro</w:t>
      </w:r>
      <w:r w:rsidR="00181C81">
        <w:t>duction is commercial. Fifty four</w:t>
      </w:r>
      <w:r w:rsidR="002D0AA4">
        <w:t xml:space="preserve"> percent of the households are </w:t>
      </w:r>
      <w:r w:rsidR="002D0AA4">
        <w:lastRenderedPageBreak/>
        <w:t>small commercial farmers. A mo</w:t>
      </w:r>
      <w:r w:rsidR="00181C81">
        <w:t>re restrictive definition of 1.0</w:t>
      </w:r>
      <w:r w:rsidR="002D0AA4">
        <w:t xml:space="preserve"> to 5 hectares</w:t>
      </w:r>
      <w:r w:rsidR="007455DE">
        <w:t xml:space="preserve"> catches 7</w:t>
      </w:r>
      <w:r w:rsidR="003C204B">
        <w:t>7</w:t>
      </w:r>
      <w:r w:rsidR="00D22B78">
        <w:t xml:space="preserve"> and 72</w:t>
      </w:r>
      <w:r w:rsidR="002D0AA4">
        <w:t xml:space="preserve"> percent r</w:t>
      </w:r>
      <w:r w:rsidR="00181C81">
        <w:t xml:space="preserve">espectively of production and </w:t>
      </w:r>
      <w:r w:rsidR="00D22B78">
        <w:t>40</w:t>
      </w:r>
      <w:r w:rsidR="00AB100B">
        <w:t xml:space="preserve"> </w:t>
      </w:r>
      <w:r w:rsidR="002D0AA4">
        <w:t>percent of the households are small commercial farmers. The bulk of those farmers are highly commercial. It is notable that the average size of holding of the multi-purpose cooperative members is just under two hectares. The members of cooperatives are small commercial farmers.</w:t>
      </w:r>
    </w:p>
    <w:p w:rsidR="00910D8F" w:rsidRDefault="00D22B78" w:rsidP="005B21A4">
      <w:pPr>
        <w:spacing w:line="480" w:lineRule="auto"/>
      </w:pPr>
      <w:r>
        <w:t xml:space="preserve">Focus groups </w:t>
      </w:r>
      <w:r w:rsidR="0069003E">
        <w:t xml:space="preserve">carried out by the USAID </w:t>
      </w:r>
      <w:proofErr w:type="spellStart"/>
      <w:r w:rsidR="0069003E">
        <w:t>AMDe</w:t>
      </w:r>
      <w:proofErr w:type="spellEnd"/>
      <w:r w:rsidR="0069003E">
        <w:t xml:space="preserve"> project </w:t>
      </w:r>
      <w:r>
        <w:t>s</w:t>
      </w:r>
      <w:r w:rsidR="0069003E">
        <w:t>h</w:t>
      </w:r>
      <w:r>
        <w:t>ow s</w:t>
      </w:r>
      <w:r w:rsidR="001767D8">
        <w:t xml:space="preserve">mall commercial farmers want credit in much larger amounts than micro credit provides, are interested in the cooperatives from a business point of view, desire extension services to improve </w:t>
      </w:r>
      <w:r w:rsidR="000A10AA">
        <w:t>their farming, and from surveys and focus groups think well of the extension agents.</w:t>
      </w:r>
      <w:r w:rsidR="00D47A56">
        <w:t xml:space="preserve"> They </w:t>
      </w:r>
      <w:r w:rsidR="001767D8">
        <w:t xml:space="preserve">use fertilizer at significantly lower than optimal levels because of the credit constraint. There are </w:t>
      </w:r>
      <w:r w:rsidR="001A35B9">
        <w:t xml:space="preserve">in Ethiopia, as throughout Sub-Saharan Africa, </w:t>
      </w:r>
      <w:r w:rsidR="001767D8">
        <w:t>no finance institutions serving the small commercial farmer.</w:t>
      </w:r>
    </w:p>
    <w:p w:rsidR="005950FF" w:rsidRPr="00ED452D" w:rsidRDefault="001A35B9" w:rsidP="005B21A4">
      <w:pPr>
        <w:spacing w:line="480" w:lineRule="auto"/>
      </w:pPr>
      <w:r>
        <w:t xml:space="preserve">Thus, </w:t>
      </w:r>
      <w:r w:rsidR="00D22B78">
        <w:t>54</w:t>
      </w:r>
      <w:r>
        <w:t xml:space="preserve"> percent of rural </w:t>
      </w:r>
      <w:r w:rsidR="005950FF">
        <w:t>families are</w:t>
      </w:r>
      <w:r w:rsidR="00D22B78">
        <w:t xml:space="preserve"> small commercial farmers and 46</w:t>
      </w:r>
      <w:r w:rsidR="005950FF">
        <w:t xml:space="preserve"> </w:t>
      </w:r>
      <w:r w:rsidR="001767D8">
        <w:t>percent</w:t>
      </w:r>
      <w:r w:rsidR="005950FF">
        <w:t xml:space="preserve"> are dependent substantially on off farm source</w:t>
      </w:r>
      <w:r w:rsidR="00626FE0">
        <w:t>s of income for survival</w:t>
      </w:r>
      <w:r w:rsidR="00D47A56">
        <w:t>. The latter</w:t>
      </w:r>
      <w:r w:rsidR="0069003E">
        <w:t xml:space="preserve"> </w:t>
      </w:r>
      <w:r w:rsidR="00D22B78">
        <w:t>46</w:t>
      </w:r>
      <w:r w:rsidR="005950FF">
        <w:t xml:space="preserve"> per</w:t>
      </w:r>
      <w:r w:rsidR="000A28B2">
        <w:t>cent of families produce only 14</w:t>
      </w:r>
      <w:r w:rsidR="005950FF">
        <w:t xml:space="preserve"> percent of </w:t>
      </w:r>
      <w:r w:rsidR="00626FE0">
        <w:t xml:space="preserve">agricultural </w:t>
      </w:r>
      <w:r w:rsidR="000A10AA">
        <w:t xml:space="preserve">output. </w:t>
      </w:r>
      <w:r w:rsidR="005950FF">
        <w:t>They are less devoted to agriculture as compared t</w:t>
      </w:r>
      <w:r w:rsidR="00D47A56">
        <w:t>o finding off far</w:t>
      </w:r>
      <w:r w:rsidR="000A10AA">
        <w:t>m employment, a</w:t>
      </w:r>
      <w:r w:rsidR="005950FF">
        <w:t>r</w:t>
      </w:r>
      <w:r w:rsidR="000A10AA">
        <w:t>e</w:t>
      </w:r>
      <w:r w:rsidR="005950FF">
        <w:t xml:space="preserve"> poorer and with less capital and less risk bearing abilities than the small commercial farmers. It is convenient to </w:t>
      </w:r>
      <w:r w:rsidR="000A10AA">
        <w:t>define them as Rural Non-F</w:t>
      </w:r>
      <w:r w:rsidR="005950FF">
        <w:t>arm</w:t>
      </w:r>
      <w:r w:rsidR="000A10AA">
        <w:t xml:space="preserve"> (RNF)</w:t>
      </w:r>
      <w:r w:rsidR="005950FF">
        <w:t xml:space="preserve"> population even though 10 to 20</w:t>
      </w:r>
      <w:r w:rsidR="000A10AA">
        <w:t xml:space="preserve"> </w:t>
      </w:r>
      <w:r w:rsidR="005950FF">
        <w:t xml:space="preserve">percent of them earn </w:t>
      </w:r>
      <w:r w:rsidR="00D47A56">
        <w:t xml:space="preserve">a </w:t>
      </w:r>
      <w:r w:rsidR="005950FF">
        <w:t xml:space="preserve">significant </w:t>
      </w:r>
      <w:r w:rsidR="000A10AA">
        <w:t>sha</w:t>
      </w:r>
      <w:r w:rsidR="005950FF">
        <w:t>re</w:t>
      </w:r>
      <w:r w:rsidR="000A10AA">
        <w:t xml:space="preserve"> of their income from fa</w:t>
      </w:r>
      <w:r w:rsidR="005950FF">
        <w:t xml:space="preserve">rming. </w:t>
      </w:r>
    </w:p>
    <w:p w:rsidR="00145D07" w:rsidRPr="00E65B92" w:rsidRDefault="000A28B2" w:rsidP="005B21A4">
      <w:pPr>
        <w:spacing w:line="480" w:lineRule="auto"/>
      </w:pPr>
      <w:r>
        <w:t xml:space="preserve">Farms </w:t>
      </w:r>
      <w:r w:rsidR="005950FF">
        <w:t>above 20 hectares are ta</w:t>
      </w:r>
      <w:r w:rsidR="0069003E">
        <w:t>ken by CSA as large scale farm</w:t>
      </w:r>
      <w:r w:rsidR="005950FF">
        <w:t xml:space="preserve">s. They produce </w:t>
      </w:r>
      <w:r w:rsidR="00BA5EFD">
        <w:t xml:space="preserve">at most </w:t>
      </w:r>
      <w:r w:rsidR="005950FF">
        <w:t>10 percent of output</w:t>
      </w:r>
      <w:r w:rsidR="00BA5EFD">
        <w:t xml:space="preserve"> and only three percent of cereals production</w:t>
      </w:r>
      <w:r w:rsidR="005950FF">
        <w:t>.  Their growth rate has been comparable to that of the small commercial farmers, not faster, and therefore the</w:t>
      </w:r>
      <w:r w:rsidR="000A10AA">
        <w:t>y</w:t>
      </w:r>
      <w:r w:rsidR="005950FF">
        <w:t xml:space="preserve"> account for only a small part of the 7.0 percent growth rate. </w:t>
      </w:r>
      <w:r w:rsidR="000A10AA">
        <w:t>Small Commercial farmers, far more than La</w:t>
      </w:r>
      <w:r w:rsidR="001702D4">
        <w:t xml:space="preserve">rge Commercial farmers require public </w:t>
      </w:r>
      <w:r w:rsidR="001702D4">
        <w:lastRenderedPageBreak/>
        <w:t xml:space="preserve">sector services, </w:t>
      </w:r>
      <w:r w:rsidR="000A10AA">
        <w:t>institutions, and investment if they are to achieve high output grow</w:t>
      </w:r>
      <w:r w:rsidR="00D47A56">
        <w:t>th rates.</w:t>
      </w:r>
      <w:r w:rsidR="006504E6">
        <w:t xml:space="preserve"> Thus, when Governments do not provide those services, the large commercial farms grow more rapidly.</w:t>
      </w:r>
      <w:r w:rsidR="006504E6">
        <w:rPr>
          <w:rStyle w:val="FootnoteReference"/>
        </w:rPr>
        <w:footnoteReference w:id="7"/>
      </w:r>
    </w:p>
    <w:p w:rsidR="001767D8" w:rsidRDefault="00CD4E08" w:rsidP="005B21A4">
      <w:pPr>
        <w:spacing w:line="480" w:lineRule="auto"/>
        <w:rPr>
          <w:u w:val="single"/>
        </w:rPr>
      </w:pPr>
      <w:r>
        <w:rPr>
          <w:u w:val="single"/>
        </w:rPr>
        <w:t>Changing Sources of G</w:t>
      </w:r>
      <w:r w:rsidR="001767D8">
        <w:rPr>
          <w:u w:val="single"/>
        </w:rPr>
        <w:t>rowth</w:t>
      </w:r>
    </w:p>
    <w:p w:rsidR="00B02322" w:rsidRDefault="00813480" w:rsidP="005B21A4">
      <w:pPr>
        <w:spacing w:line="480" w:lineRule="auto"/>
      </w:pPr>
      <w:r>
        <w:t>Dividing sources</w:t>
      </w:r>
      <w:r w:rsidR="006E607A">
        <w:t xml:space="preserve"> of growth</w:t>
      </w:r>
      <w:r>
        <w:t xml:space="preserve"> into three distinct periods is a </w:t>
      </w:r>
      <w:r w:rsidR="000A10AA">
        <w:t>useful</w:t>
      </w:r>
      <w:r>
        <w:t xml:space="preserve"> simplification. </w:t>
      </w:r>
      <w:r w:rsidR="006E607A">
        <w:t xml:space="preserve"> </w:t>
      </w:r>
      <w:r w:rsidR="000A10AA">
        <w:t>The</w:t>
      </w:r>
      <w:r>
        <w:t xml:space="preserve"> first </w:t>
      </w:r>
      <w:r w:rsidR="000A10AA">
        <w:t>period</w:t>
      </w:r>
      <w:r>
        <w:t xml:space="preserve"> would be from 1995 to roughly 2008</w:t>
      </w:r>
      <w:r w:rsidR="006E607A">
        <w:t xml:space="preserve"> –</w:t>
      </w:r>
      <w:r w:rsidR="00A91A6C">
        <w:t xml:space="preserve"> </w:t>
      </w:r>
      <w:r w:rsidR="006E607A">
        <w:t>intensification of traditional processes</w:t>
      </w:r>
      <w:r>
        <w:t xml:space="preserve">. The second </w:t>
      </w:r>
      <w:r w:rsidR="000A10AA">
        <w:t>would</w:t>
      </w:r>
      <w:r>
        <w:t xml:space="preserve"> be from 2008 to the </w:t>
      </w:r>
      <w:r w:rsidR="000A10AA">
        <w:t>present</w:t>
      </w:r>
      <w:r w:rsidR="006E607A">
        <w:t xml:space="preserve"> –</w:t>
      </w:r>
      <w:r w:rsidR="00A91A6C">
        <w:t xml:space="preserve"> </w:t>
      </w:r>
      <w:r w:rsidR="00145D07">
        <w:t xml:space="preserve">improved </w:t>
      </w:r>
      <w:r w:rsidR="006E607A">
        <w:t>seed fertilizer intensification. T</w:t>
      </w:r>
      <w:r>
        <w:t>he th</w:t>
      </w:r>
      <w:r w:rsidR="008366F1">
        <w:t>ir</w:t>
      </w:r>
      <w:r>
        <w:t xml:space="preserve">d </w:t>
      </w:r>
      <w:r w:rsidR="006E607A">
        <w:t xml:space="preserve">is forward looking, </w:t>
      </w:r>
      <w:r>
        <w:t xml:space="preserve">from </w:t>
      </w:r>
      <w:r w:rsidR="008366F1">
        <w:t>the</w:t>
      </w:r>
      <w:r>
        <w:t xml:space="preserve"> present </w:t>
      </w:r>
      <w:r w:rsidR="006E607A">
        <w:t>t</w:t>
      </w:r>
      <w:r>
        <w:t xml:space="preserve">o </w:t>
      </w:r>
      <w:r w:rsidR="008366F1">
        <w:t>another</w:t>
      </w:r>
      <w:r>
        <w:t xml:space="preserve"> 10 or </w:t>
      </w:r>
      <w:r w:rsidR="008366F1">
        <w:t>more</w:t>
      </w:r>
      <w:r>
        <w:t xml:space="preserve"> </w:t>
      </w:r>
      <w:r w:rsidR="008366F1">
        <w:t xml:space="preserve">years </w:t>
      </w:r>
      <w:r>
        <w:t xml:space="preserve">of seven </w:t>
      </w:r>
      <w:r w:rsidR="008366F1">
        <w:t>percent</w:t>
      </w:r>
      <w:r>
        <w:t xml:space="preserve"> </w:t>
      </w:r>
      <w:r w:rsidR="009D2DB4">
        <w:t xml:space="preserve">growth, </w:t>
      </w:r>
      <w:r w:rsidR="00BA5EFD">
        <w:t xml:space="preserve">based on a few new </w:t>
      </w:r>
      <w:r w:rsidR="009E12BE">
        <w:t xml:space="preserve">priorities. </w:t>
      </w:r>
      <w:r>
        <w:t xml:space="preserve">As each period developed it was easy to see it as a </w:t>
      </w:r>
      <w:r w:rsidR="008366F1">
        <w:t>system</w:t>
      </w:r>
      <w:r>
        <w:t xml:space="preserve"> that was </w:t>
      </w:r>
      <w:r w:rsidR="008366F1">
        <w:t>working</w:t>
      </w:r>
      <w:r>
        <w:t xml:space="preserve"> well, giving the require</w:t>
      </w:r>
      <w:r w:rsidR="00A91A6C">
        <w:t>d</w:t>
      </w:r>
      <w:r>
        <w:t xml:space="preserve"> growth and not</w:t>
      </w:r>
      <w:r w:rsidR="008366F1">
        <w:t xml:space="preserve"> needing</w:t>
      </w:r>
      <w:r>
        <w:t xml:space="preserve"> </w:t>
      </w:r>
      <w:r w:rsidR="008366F1">
        <w:t>change</w:t>
      </w:r>
      <w:r>
        <w:t xml:space="preserve">. </w:t>
      </w:r>
      <w:r w:rsidR="00145D07">
        <w:t>In that context,</w:t>
      </w:r>
      <w:r>
        <w:t xml:space="preserve"> </w:t>
      </w:r>
      <w:r w:rsidR="00145D07">
        <w:t xml:space="preserve">without </w:t>
      </w:r>
      <w:r>
        <w:t>predicting the</w:t>
      </w:r>
      <w:r w:rsidR="008366F1">
        <w:t xml:space="preserve"> nee</w:t>
      </w:r>
      <w:r>
        <w:t xml:space="preserve">d for change </w:t>
      </w:r>
      <w:r w:rsidR="008366F1">
        <w:t>i</w:t>
      </w:r>
      <w:r>
        <w:t xml:space="preserve">t is </w:t>
      </w:r>
      <w:r w:rsidR="008366F1">
        <w:t>unlikely</w:t>
      </w:r>
      <w:r>
        <w:t xml:space="preserve"> to </w:t>
      </w:r>
      <w:r w:rsidR="008366F1">
        <w:t>occur</w:t>
      </w:r>
      <w:r>
        <w:t xml:space="preserve"> and the </w:t>
      </w:r>
      <w:r w:rsidR="008366F1">
        <w:t>growth</w:t>
      </w:r>
      <w:r>
        <w:t xml:space="preserve"> rate will slow, </w:t>
      </w:r>
      <w:r w:rsidR="008366F1">
        <w:t>perhaps</w:t>
      </w:r>
      <w:r>
        <w:t xml:space="preserve"> </w:t>
      </w:r>
      <w:r w:rsidR="008366F1">
        <w:t>without</w:t>
      </w:r>
      <w:r w:rsidR="00A91A6C">
        <w:t xml:space="preserve"> un</w:t>
      </w:r>
      <w:r w:rsidR="00145D07">
        <w:t>derstanding why</w:t>
      </w:r>
      <w:r w:rsidR="00A91A6C">
        <w:t>.</w:t>
      </w:r>
      <w:r w:rsidR="009E12BE">
        <w:t xml:space="preserve"> </w:t>
      </w:r>
      <w:r w:rsidR="00B02322">
        <w:t>Two essential background elements are critical to understanding the evolving efforts over the 16 year period.</w:t>
      </w:r>
      <w:r w:rsidR="003E6C8B">
        <w:t xml:space="preserve"> </w:t>
      </w:r>
    </w:p>
    <w:p w:rsidR="00B02322" w:rsidRDefault="00B02322" w:rsidP="005B21A4">
      <w:pPr>
        <w:spacing w:line="480" w:lineRule="auto"/>
      </w:pPr>
      <w:r>
        <w:t>An Essential Background of Government Expenditure on Agriculture</w:t>
      </w:r>
    </w:p>
    <w:p w:rsidR="00B02322" w:rsidRDefault="00B02322" w:rsidP="005B21A4">
      <w:pPr>
        <w:spacing w:before="240" w:line="480" w:lineRule="auto"/>
      </w:pPr>
      <w:r>
        <w:t>CAADP</w:t>
      </w:r>
      <w:r w:rsidR="00145D07">
        <w:t xml:space="preserve"> (African Union 2010</w:t>
      </w:r>
      <w:r w:rsidR="004A53BF">
        <w:t>),</w:t>
      </w:r>
      <w:r>
        <w:t xml:space="preserve"> after considerable analysis set a target, with a rough definition of </w:t>
      </w:r>
      <w:r w:rsidR="009D2DB4">
        <w:t>components</w:t>
      </w:r>
      <w:r w:rsidR="003E6C8B">
        <w:t>,</w:t>
      </w:r>
      <w:r w:rsidR="009D2DB4">
        <w:t xml:space="preserve"> of </w:t>
      </w:r>
      <w:r>
        <w:t xml:space="preserve">ten </w:t>
      </w:r>
      <w:r w:rsidR="009E12BE">
        <w:t>percent of</w:t>
      </w:r>
      <w:r>
        <w:t xml:space="preserve"> government </w:t>
      </w:r>
      <w:r w:rsidR="009E12BE">
        <w:t xml:space="preserve">expenditure allocated to </w:t>
      </w:r>
      <w:r w:rsidR="009D2DB4">
        <w:t>agriculture</w:t>
      </w:r>
      <w:r>
        <w:t xml:space="preserve">. </w:t>
      </w:r>
      <w:r w:rsidR="009E12BE">
        <w:t>Ethiopia h</w:t>
      </w:r>
      <w:r>
        <w:t>as,</w:t>
      </w:r>
      <w:r w:rsidR="009E12BE">
        <w:t xml:space="preserve"> from</w:t>
      </w:r>
      <w:r>
        <w:t xml:space="preserve"> long </w:t>
      </w:r>
      <w:r w:rsidR="009E12BE">
        <w:t>before</w:t>
      </w:r>
      <w:r>
        <w:t xml:space="preserve"> CAADP, exceeded that target. No other African country has done so,</w:t>
      </w:r>
      <w:r w:rsidR="009E12BE">
        <w:t xml:space="preserve"> except </w:t>
      </w:r>
      <w:r w:rsidR="00BA5EFD">
        <w:t xml:space="preserve">briefly </w:t>
      </w:r>
      <w:r w:rsidR="009E12BE">
        <w:t xml:space="preserve">for Ghana and </w:t>
      </w:r>
      <w:r>
        <w:t>the</w:t>
      </w:r>
      <w:r w:rsidR="009E12BE">
        <w:t xml:space="preserve"> </w:t>
      </w:r>
      <w:r>
        <w:t xml:space="preserve">very recent </w:t>
      </w:r>
      <w:r w:rsidR="009E12BE">
        <w:t>exception of</w:t>
      </w:r>
      <w:r>
        <w:t xml:space="preserve"> Rwanda. It is important </w:t>
      </w:r>
      <w:r w:rsidR="009E12BE">
        <w:t>because</w:t>
      </w:r>
      <w:r>
        <w:t xml:space="preserve"> </w:t>
      </w:r>
      <w:r w:rsidR="009E12BE">
        <w:t>Governments</w:t>
      </w:r>
      <w:r>
        <w:t xml:space="preserve"> must build a wide variety of services to </w:t>
      </w:r>
      <w:r w:rsidR="009E12BE">
        <w:t>agriculture</w:t>
      </w:r>
      <w:r>
        <w:t xml:space="preserve">. They are </w:t>
      </w:r>
      <w:r w:rsidR="009E12BE">
        <w:t>often of</w:t>
      </w:r>
      <w:r>
        <w:t xml:space="preserve"> a </w:t>
      </w:r>
      <w:r w:rsidR="009E12BE">
        <w:t>type</w:t>
      </w:r>
      <w:r>
        <w:t xml:space="preserve"> </w:t>
      </w:r>
      <w:r w:rsidR="009E12BE">
        <w:t>that</w:t>
      </w:r>
      <w:r>
        <w:t xml:space="preserve"> represent more detail </w:t>
      </w:r>
      <w:r w:rsidR="009E12BE">
        <w:t>than</w:t>
      </w:r>
      <w:r>
        <w:t xml:space="preserve"> a </w:t>
      </w:r>
      <w:r w:rsidR="009E12BE">
        <w:t>growth</w:t>
      </w:r>
      <w:r>
        <w:t xml:space="preserve"> </w:t>
      </w:r>
      <w:r w:rsidR="009E12BE">
        <w:t>strategy</w:t>
      </w:r>
      <w:r>
        <w:t xml:space="preserve"> </w:t>
      </w:r>
      <w:r w:rsidR="009E12BE">
        <w:t xml:space="preserve">should </w:t>
      </w:r>
      <w:r>
        <w:t>have and</w:t>
      </w:r>
      <w:r w:rsidR="009E12BE">
        <w:t xml:space="preserve"> y</w:t>
      </w:r>
      <w:r>
        <w:t xml:space="preserve">et are </w:t>
      </w:r>
      <w:r w:rsidR="009E12BE">
        <w:t>critically</w:t>
      </w:r>
      <w:r>
        <w:t xml:space="preserve"> </w:t>
      </w:r>
      <w:r w:rsidR="009E12BE">
        <w:t>i</w:t>
      </w:r>
      <w:r>
        <w:t>m</w:t>
      </w:r>
      <w:r w:rsidR="009E12BE">
        <w:t>p</w:t>
      </w:r>
      <w:r>
        <w:t>ortant</w:t>
      </w:r>
      <w:r w:rsidR="006E69FE">
        <w:t xml:space="preserve">. </w:t>
      </w:r>
      <w:r w:rsidR="009E12BE">
        <w:t>The</w:t>
      </w:r>
      <w:r>
        <w:t xml:space="preserve"> </w:t>
      </w:r>
      <w:r w:rsidR="009E12BE">
        <w:t>targets</w:t>
      </w:r>
      <w:r>
        <w:t xml:space="preserve"> for </w:t>
      </w:r>
      <w:r w:rsidR="009E12BE">
        <w:t>the priorities</w:t>
      </w:r>
      <w:r>
        <w:t xml:space="preserve"> will not be met if </w:t>
      </w:r>
      <w:r w:rsidR="009E12BE">
        <w:t>the overall</w:t>
      </w:r>
      <w:r>
        <w:t xml:space="preserve"> </w:t>
      </w:r>
      <w:r>
        <w:lastRenderedPageBreak/>
        <w:t xml:space="preserve">allocation </w:t>
      </w:r>
      <w:r w:rsidR="002D0AA4">
        <w:t>to a</w:t>
      </w:r>
      <w:r w:rsidR="003E6C8B">
        <w:t xml:space="preserve">griculture </w:t>
      </w:r>
      <w:r w:rsidR="009E12BE">
        <w:t>is</w:t>
      </w:r>
      <w:r>
        <w:t xml:space="preserve"> </w:t>
      </w:r>
      <w:r w:rsidR="009E12BE">
        <w:t>grossly</w:t>
      </w:r>
      <w:r>
        <w:t xml:space="preserve"> </w:t>
      </w:r>
      <w:r w:rsidR="009E12BE">
        <w:t>inadequate</w:t>
      </w:r>
      <w:r>
        <w:t xml:space="preserve">. With this </w:t>
      </w:r>
      <w:r w:rsidR="009E12BE">
        <w:t>target met</w:t>
      </w:r>
      <w:r>
        <w:t xml:space="preserve"> attention can be </w:t>
      </w:r>
      <w:r w:rsidR="009E12BE">
        <w:t>directed</w:t>
      </w:r>
      <w:r>
        <w:t xml:space="preserve"> to the optimal</w:t>
      </w:r>
      <w:r w:rsidR="009E12BE">
        <w:t xml:space="preserve"> allocation</w:t>
      </w:r>
      <w:r>
        <w:t xml:space="preserve"> </w:t>
      </w:r>
      <w:r w:rsidR="009E12BE">
        <w:t>o</w:t>
      </w:r>
      <w:r>
        <w:t xml:space="preserve">f </w:t>
      </w:r>
      <w:r w:rsidR="009E12BE">
        <w:t xml:space="preserve">that money including </w:t>
      </w:r>
      <w:r w:rsidR="00BA5EFD">
        <w:t>full funding for</w:t>
      </w:r>
      <w:r w:rsidR="009E12BE">
        <w:t xml:space="preserve"> a few priorities.</w:t>
      </w:r>
    </w:p>
    <w:p w:rsidR="00A91A6C" w:rsidRDefault="00A91A6C" w:rsidP="005B21A4">
      <w:pPr>
        <w:spacing w:line="480" w:lineRule="auto"/>
      </w:pPr>
      <w:r>
        <w:t>An Essential Background of Road Investment</w:t>
      </w:r>
    </w:p>
    <w:p w:rsidR="00E37056" w:rsidRDefault="00BC0435" w:rsidP="005B21A4">
      <w:pPr>
        <w:spacing w:line="480" w:lineRule="auto"/>
      </w:pPr>
      <w:r>
        <w:t>We no</w:t>
      </w:r>
      <w:r w:rsidR="00BA5EFD">
        <w:t>w have in the recent</w:t>
      </w:r>
      <w:r w:rsidR="00A91A6C">
        <w:t xml:space="preserve"> IFPRI study (Minton et.al. 2014) a definitive statement</w:t>
      </w:r>
      <w:r>
        <w:t xml:space="preserve"> of t</w:t>
      </w:r>
      <w:r w:rsidR="00A91A6C">
        <w:t>h</w:t>
      </w:r>
      <w:r>
        <w:t>e</w:t>
      </w:r>
      <w:r w:rsidR="00A91A6C">
        <w:t xml:space="preserve"> impac</w:t>
      </w:r>
      <w:r>
        <w:t xml:space="preserve">t </w:t>
      </w:r>
      <w:r w:rsidR="00A91A6C">
        <w:t xml:space="preserve">of a set of changes of </w:t>
      </w:r>
      <w:r>
        <w:t>which</w:t>
      </w:r>
      <w:r w:rsidR="00A91A6C">
        <w:t xml:space="preserve"> rural roads were </w:t>
      </w:r>
      <w:r>
        <w:t>central</w:t>
      </w:r>
      <w:r w:rsidR="00A91A6C">
        <w:t>. Transport costs and marketing</w:t>
      </w:r>
      <w:r w:rsidR="00E37056">
        <w:t xml:space="preserve"> m</w:t>
      </w:r>
      <w:r w:rsidR="00A91A6C">
        <w:t xml:space="preserve">argins </w:t>
      </w:r>
      <w:r>
        <w:t>declined precipitously</w:t>
      </w:r>
      <w:r w:rsidR="00A91A6C">
        <w:t xml:space="preserve"> from</w:t>
      </w:r>
      <w:r w:rsidR="00E37056">
        <w:t xml:space="preserve"> 2000.  </w:t>
      </w:r>
      <w:r>
        <w:t>That</w:t>
      </w:r>
      <w:r w:rsidR="00E37056">
        <w:t xml:space="preserve"> had a large impact on </w:t>
      </w:r>
      <w:r>
        <w:t xml:space="preserve">relative </w:t>
      </w:r>
      <w:r w:rsidR="00E37056">
        <w:t xml:space="preserve">prices </w:t>
      </w:r>
      <w:r>
        <w:t>farmers</w:t>
      </w:r>
      <w:r w:rsidR="00E37056">
        <w:t xml:space="preserve"> face </w:t>
      </w:r>
      <w:r>
        <w:t>which</w:t>
      </w:r>
      <w:r w:rsidR="00E37056">
        <w:t xml:space="preserve"> </w:t>
      </w:r>
      <w:r>
        <w:t>increased</w:t>
      </w:r>
      <w:r w:rsidR="00E37056">
        <w:t xml:space="preserve"> </w:t>
      </w:r>
      <w:r>
        <w:t>incentives</w:t>
      </w:r>
      <w:r w:rsidR="00E37056">
        <w:t xml:space="preserve"> to invest and </w:t>
      </w:r>
      <w:r>
        <w:t>intensify</w:t>
      </w:r>
      <w:r w:rsidR="00E37056">
        <w:t xml:space="preserve">. The focus is on </w:t>
      </w:r>
      <w:r>
        <w:t>declining</w:t>
      </w:r>
      <w:r w:rsidR="00E37056">
        <w:t xml:space="preserve"> costs</w:t>
      </w:r>
      <w:r>
        <w:t xml:space="preserve"> (dropping in half)</w:t>
      </w:r>
      <w:r w:rsidR="00E37056">
        <w:t xml:space="preserve"> between </w:t>
      </w:r>
      <w:r>
        <w:t>major market</w:t>
      </w:r>
      <w:r w:rsidR="00E37056">
        <w:t xml:space="preserve">s and </w:t>
      </w:r>
      <w:r>
        <w:t>central</w:t>
      </w:r>
      <w:r w:rsidR="00E37056">
        <w:t xml:space="preserve"> </w:t>
      </w:r>
      <w:r>
        <w:t>cities. That</w:t>
      </w:r>
      <w:r w:rsidR="00E37056">
        <w:t xml:space="preserve"> is where the</w:t>
      </w:r>
      <w:r>
        <w:t xml:space="preserve"> i</w:t>
      </w:r>
      <w:r w:rsidR="00E37056">
        <w:t xml:space="preserve">nitial </w:t>
      </w:r>
      <w:r>
        <w:t>investments have been. It is impl</w:t>
      </w:r>
      <w:r w:rsidR="00E37056">
        <w:t xml:space="preserve">icit </w:t>
      </w:r>
      <w:r>
        <w:t>that</w:t>
      </w:r>
      <w:r w:rsidR="00E37056">
        <w:t xml:space="preserve"> there is a long way to go </w:t>
      </w:r>
      <w:r>
        <w:t>i</w:t>
      </w:r>
      <w:r w:rsidR="00E37056">
        <w:t xml:space="preserve">n connecting </w:t>
      </w:r>
      <w:r>
        <w:t>farmers and</w:t>
      </w:r>
      <w:r w:rsidR="00E37056">
        <w:t xml:space="preserve"> village</w:t>
      </w:r>
      <w:r w:rsidR="006C5E2B">
        <w:t>s</w:t>
      </w:r>
      <w:r w:rsidR="00E37056">
        <w:t xml:space="preserve"> </w:t>
      </w:r>
      <w:r>
        <w:t>with</w:t>
      </w:r>
      <w:r w:rsidR="00E37056">
        <w:t xml:space="preserve"> central markets. Further</w:t>
      </w:r>
      <w:r w:rsidR="003E6C8B">
        <w:t>,</w:t>
      </w:r>
      <w:r w:rsidR="00E37056">
        <w:t xml:space="preserve"> much of </w:t>
      </w:r>
      <w:r>
        <w:t>the</w:t>
      </w:r>
      <w:r w:rsidR="00E37056">
        <w:t xml:space="preserve"> road </w:t>
      </w:r>
      <w:r>
        <w:t>system</w:t>
      </w:r>
      <w:r w:rsidR="00E37056">
        <w:t xml:space="preserve"> is still gravel roads while IFPRI data show </w:t>
      </w:r>
      <w:r>
        <w:t xml:space="preserve">that </w:t>
      </w:r>
      <w:r w:rsidR="00E37056">
        <w:t xml:space="preserve">it </w:t>
      </w:r>
      <w:r>
        <w:t>is</w:t>
      </w:r>
      <w:r w:rsidR="00E37056">
        <w:t xml:space="preserve"> all </w:t>
      </w:r>
      <w:r>
        <w:t>weather</w:t>
      </w:r>
      <w:r w:rsidR="00E37056">
        <w:t xml:space="preserve"> road</w:t>
      </w:r>
      <w:r>
        <w:t>s</w:t>
      </w:r>
      <w:r w:rsidR="00E37056">
        <w:t xml:space="preserve"> that </w:t>
      </w:r>
      <w:r>
        <w:t>bring</w:t>
      </w:r>
      <w:r w:rsidR="00E37056">
        <w:t xml:space="preserve"> development</w:t>
      </w:r>
      <w:r w:rsidR="006C5E2B">
        <w:t xml:space="preserve"> (Ahmed 1975.)</w:t>
      </w:r>
      <w:r w:rsidR="00E37056">
        <w:t xml:space="preserve"> </w:t>
      </w:r>
    </w:p>
    <w:p w:rsidR="00E37056" w:rsidRPr="00813480" w:rsidRDefault="00E37056" w:rsidP="005B21A4">
      <w:pPr>
        <w:spacing w:line="480" w:lineRule="auto"/>
      </w:pPr>
      <w:r>
        <w:t xml:space="preserve">The focus </w:t>
      </w:r>
      <w:r w:rsidR="006C5E2B">
        <w:t xml:space="preserve">here </w:t>
      </w:r>
      <w:r>
        <w:t xml:space="preserve">is </w:t>
      </w:r>
      <w:r w:rsidR="00BC0435">
        <w:t>on</w:t>
      </w:r>
      <w:r>
        <w:t xml:space="preserve"> the economic impact.  In viewing </w:t>
      </w:r>
      <w:r w:rsidR="00BC0435">
        <w:t>infrastructure</w:t>
      </w:r>
      <w:r>
        <w:t xml:space="preserve"> investment it is </w:t>
      </w:r>
      <w:r w:rsidR="00BC0435">
        <w:t>important</w:t>
      </w:r>
      <w:r>
        <w:t xml:space="preserve"> to </w:t>
      </w:r>
      <w:r w:rsidR="00BC0435">
        <w:t>realize</w:t>
      </w:r>
      <w:r>
        <w:t xml:space="preserve"> </w:t>
      </w:r>
      <w:r w:rsidR="00BC0435">
        <w:t>that with all of the economic transformation</w:t>
      </w:r>
      <w:r>
        <w:t xml:space="preserve"> envisaged for </w:t>
      </w:r>
      <w:r w:rsidR="00BC0435">
        <w:t>Ethiopia</w:t>
      </w:r>
      <w:r>
        <w:t xml:space="preserve"> </w:t>
      </w:r>
      <w:r w:rsidR="00BC0435">
        <w:t>the</w:t>
      </w:r>
      <w:r>
        <w:t xml:space="preserve"> </w:t>
      </w:r>
      <w:r w:rsidR="00BC0435">
        <w:t>rapid</w:t>
      </w:r>
      <w:r>
        <w:t xml:space="preserve"> </w:t>
      </w:r>
      <w:r w:rsidR="00BC0435">
        <w:t>growth rates in agriculture</w:t>
      </w:r>
      <w:r>
        <w:t xml:space="preserve"> </w:t>
      </w:r>
      <w:r w:rsidR="00BC0435">
        <w:t>have</w:t>
      </w:r>
      <w:r>
        <w:t xml:space="preserve"> </w:t>
      </w:r>
      <w:r w:rsidR="00BC0435">
        <w:t>built</w:t>
      </w:r>
      <w:r>
        <w:t xml:space="preserve"> </w:t>
      </w:r>
      <w:r w:rsidR="00BC0435">
        <w:t>the</w:t>
      </w:r>
      <w:r>
        <w:t xml:space="preserve"> </w:t>
      </w:r>
      <w:r w:rsidR="00BC0435">
        <w:t>market</w:t>
      </w:r>
      <w:r>
        <w:t xml:space="preserve"> towns, </w:t>
      </w:r>
      <w:r w:rsidR="00BC0435">
        <w:t>much</w:t>
      </w:r>
      <w:r>
        <w:t xml:space="preserve"> </w:t>
      </w:r>
      <w:r w:rsidR="009D2DB4">
        <w:t xml:space="preserve">of </w:t>
      </w:r>
      <w:r w:rsidR="00BC0435">
        <w:t>which</w:t>
      </w:r>
      <w:r>
        <w:t xml:space="preserve"> are </w:t>
      </w:r>
      <w:r w:rsidR="00BC0435">
        <w:t>defined</w:t>
      </w:r>
      <w:r>
        <w:t xml:space="preserve"> </w:t>
      </w:r>
      <w:r w:rsidR="00BC0435">
        <w:t xml:space="preserve">in </w:t>
      </w:r>
      <w:r>
        <w:t xml:space="preserve">CSA </w:t>
      </w:r>
      <w:r w:rsidR="00BC0435">
        <w:t>data</w:t>
      </w:r>
      <w:r>
        <w:t xml:space="preserve"> </w:t>
      </w:r>
      <w:r w:rsidR="00BC0435">
        <w:t>a</w:t>
      </w:r>
      <w:r>
        <w:t xml:space="preserve">s </w:t>
      </w:r>
      <w:r w:rsidR="00BC0435">
        <w:t>rural</w:t>
      </w:r>
      <w:r w:rsidR="006E69FE">
        <w:t>.</w:t>
      </w:r>
      <w:r>
        <w:t xml:space="preserve"> </w:t>
      </w:r>
      <w:r w:rsidR="006E69FE">
        <w:t>There has also been migration</w:t>
      </w:r>
      <w:r>
        <w:t xml:space="preserve"> </w:t>
      </w:r>
      <w:r w:rsidR="00626FE0">
        <w:t xml:space="preserve">to </w:t>
      </w:r>
      <w:r w:rsidR="00BC0435">
        <w:t>the</w:t>
      </w:r>
      <w:r>
        <w:t xml:space="preserve"> central city. </w:t>
      </w:r>
      <w:r w:rsidR="00BC0435">
        <w:t>Nevertheless</w:t>
      </w:r>
      <w:r>
        <w:t xml:space="preserve"> the </w:t>
      </w:r>
      <w:r w:rsidR="00BC0435">
        <w:t>rural</w:t>
      </w:r>
      <w:r>
        <w:t xml:space="preserve"> </w:t>
      </w:r>
      <w:r w:rsidR="00BC0435">
        <w:t>population</w:t>
      </w:r>
      <w:r>
        <w:t xml:space="preserve"> </w:t>
      </w:r>
      <w:r w:rsidR="00BC0435">
        <w:t>will</w:t>
      </w:r>
      <w:r>
        <w:t xml:space="preserve"> </w:t>
      </w:r>
      <w:r w:rsidR="00BC0435">
        <w:t>continue</w:t>
      </w:r>
      <w:r>
        <w:t xml:space="preserve"> to grow for </w:t>
      </w:r>
      <w:r w:rsidR="00BC0435">
        <w:t xml:space="preserve">a </w:t>
      </w:r>
      <w:r>
        <w:t xml:space="preserve">considerable </w:t>
      </w:r>
      <w:r w:rsidR="00BC0435">
        <w:t>time</w:t>
      </w:r>
      <w:r>
        <w:t xml:space="preserve"> </w:t>
      </w:r>
      <w:r w:rsidR="00BC0435">
        <w:t>into the</w:t>
      </w:r>
      <w:r>
        <w:t xml:space="preserve"> future. Thus a </w:t>
      </w:r>
      <w:r w:rsidR="00BC0435">
        <w:t>concern</w:t>
      </w:r>
      <w:r>
        <w:t xml:space="preserve"> </w:t>
      </w:r>
      <w:r w:rsidR="00BC0435">
        <w:t>for</w:t>
      </w:r>
      <w:r>
        <w:t xml:space="preserve"> social welfare must </w:t>
      </w:r>
      <w:r w:rsidR="00BC0435">
        <w:t>give emp</w:t>
      </w:r>
      <w:r>
        <w:t xml:space="preserve">hasis to rural </w:t>
      </w:r>
      <w:r w:rsidR="00BC0435">
        <w:t>education</w:t>
      </w:r>
      <w:r>
        <w:t xml:space="preserve"> and rural health. Those require </w:t>
      </w:r>
      <w:r w:rsidR="00BC0435">
        <w:t>improved roads</w:t>
      </w:r>
      <w:r w:rsidR="009E12BE">
        <w:t>.</w:t>
      </w:r>
      <w:r>
        <w:t xml:space="preserve"> </w:t>
      </w:r>
      <w:r w:rsidR="003E6C8B">
        <w:t xml:space="preserve">Why would the </w:t>
      </w:r>
      <w:r w:rsidR="00BA5EFD">
        <w:t xml:space="preserve">educated health worker or </w:t>
      </w:r>
      <w:r w:rsidR="003E6C8B">
        <w:t xml:space="preserve">teacher bring a family to a place without all- weather road access? </w:t>
      </w:r>
      <w:r w:rsidR="00BC0435">
        <w:t>That is</w:t>
      </w:r>
      <w:r>
        <w:t xml:space="preserve"> </w:t>
      </w:r>
      <w:r w:rsidR="009E12BE">
        <w:t xml:space="preserve">why </w:t>
      </w:r>
      <w:r>
        <w:t xml:space="preserve">investment in rural roads must be massive and justified only in small part by the </w:t>
      </w:r>
      <w:r w:rsidR="00BC0435">
        <w:t>impact on agricultural</w:t>
      </w:r>
      <w:r>
        <w:t xml:space="preserve"> growth even </w:t>
      </w:r>
      <w:r w:rsidR="00BC0435">
        <w:t>though</w:t>
      </w:r>
      <w:r>
        <w:t xml:space="preserve"> </w:t>
      </w:r>
      <w:r w:rsidR="00BC0435">
        <w:t>that</w:t>
      </w:r>
      <w:r>
        <w:t xml:space="preserve"> latter effect is very large.</w:t>
      </w:r>
      <w:r w:rsidR="00B02322">
        <w:t xml:space="preserve"> </w:t>
      </w:r>
      <w:r w:rsidR="00626FE0">
        <w:t>Just</w:t>
      </w:r>
      <w:r w:rsidR="00CB2DC6">
        <w:t xml:space="preserve"> </w:t>
      </w:r>
      <w:r w:rsidR="00626FE0">
        <w:t>as</w:t>
      </w:r>
      <w:r w:rsidR="00CB2DC6">
        <w:t xml:space="preserve"> the tea</w:t>
      </w:r>
      <w:r w:rsidR="00626FE0">
        <w:t>cher and medical</w:t>
      </w:r>
      <w:r w:rsidR="00CB2DC6">
        <w:t xml:space="preserve"> </w:t>
      </w:r>
      <w:r w:rsidR="00A11C8A">
        <w:t xml:space="preserve">staff require a road, so do the trained supporters of growth by the small commercial farmer. Roads are more than just price relationships. </w:t>
      </w:r>
      <w:r w:rsidR="00B02322">
        <w:t>Note that</w:t>
      </w:r>
      <w:r w:rsidR="00BC0435">
        <w:t xml:space="preserve"> CAADP, in defining </w:t>
      </w:r>
      <w:r w:rsidR="006C5E2B">
        <w:t xml:space="preserve">government </w:t>
      </w:r>
      <w:r w:rsidR="00BC0435">
        <w:t>agricult</w:t>
      </w:r>
      <w:r w:rsidR="00B02322">
        <w:t>u</w:t>
      </w:r>
      <w:r w:rsidR="00BC0435">
        <w:t>r</w:t>
      </w:r>
      <w:r w:rsidR="00B02322">
        <w:t>al i</w:t>
      </w:r>
      <w:r w:rsidR="00BC0435">
        <w:t>nvestment, does not</w:t>
      </w:r>
      <w:r w:rsidR="00B02322">
        <w:t xml:space="preserve"> count rural road investment even though it says it is important to agricultural growth.</w:t>
      </w:r>
    </w:p>
    <w:p w:rsidR="008366F1" w:rsidRDefault="008366F1" w:rsidP="005B21A4">
      <w:pPr>
        <w:spacing w:line="480" w:lineRule="auto"/>
      </w:pPr>
      <w:r>
        <w:lastRenderedPageBreak/>
        <w:t>Phase I</w:t>
      </w:r>
      <w:r w:rsidR="006E607A">
        <w:t>- Intensification</w:t>
      </w:r>
      <w:r>
        <w:t xml:space="preserve"> of </w:t>
      </w:r>
      <w:r w:rsidR="006E607A">
        <w:t>Traditional</w:t>
      </w:r>
      <w:r>
        <w:t xml:space="preserve"> Practices</w:t>
      </w:r>
    </w:p>
    <w:p w:rsidR="00E37056" w:rsidRDefault="00E37056" w:rsidP="005B21A4">
      <w:pPr>
        <w:spacing w:line="480" w:lineRule="auto"/>
      </w:pPr>
      <w:r>
        <w:t xml:space="preserve">The growth rate in the first decade of the period analyzed must be seen first in terms of the remaining </w:t>
      </w:r>
      <w:r w:rsidR="00BC0435">
        <w:t>potential</w:t>
      </w:r>
      <w:r>
        <w:t xml:space="preserve"> </w:t>
      </w:r>
      <w:r w:rsidR="00BC0435">
        <w:t>for</w:t>
      </w:r>
      <w:r>
        <w:t xml:space="preserve"> recovery from </w:t>
      </w:r>
      <w:r w:rsidR="00BC0435">
        <w:t xml:space="preserve">the </w:t>
      </w:r>
      <w:proofErr w:type="spellStart"/>
      <w:r w:rsidR="00BC0435">
        <w:t>Dergue</w:t>
      </w:r>
      <w:proofErr w:type="spellEnd"/>
      <w:r>
        <w:t xml:space="preserve"> period disruptions and then in terms of </w:t>
      </w:r>
      <w:r w:rsidR="00BC0435">
        <w:t>potentials to</w:t>
      </w:r>
      <w:r>
        <w:t xml:space="preserve"> </w:t>
      </w:r>
      <w:r w:rsidR="00BC0435">
        <w:t>increase intensification</w:t>
      </w:r>
      <w:r>
        <w:t xml:space="preserve"> in</w:t>
      </w:r>
      <w:r w:rsidR="00BC0435">
        <w:t xml:space="preserve"> a traditional</w:t>
      </w:r>
      <w:r>
        <w:t xml:space="preserve"> context.</w:t>
      </w:r>
      <w:r w:rsidR="00B02322">
        <w:t xml:space="preserve"> </w:t>
      </w:r>
      <w:r w:rsidR="004264C1">
        <w:t>Prior</w:t>
      </w:r>
      <w:r w:rsidR="00B02322">
        <w:t xml:space="preserve"> to the present government </w:t>
      </w:r>
      <w:r w:rsidR="00145D07">
        <w:t>in 199</w:t>
      </w:r>
      <w:r w:rsidR="00B02322">
        <w:t xml:space="preserve">2, </w:t>
      </w:r>
      <w:r w:rsidR="004264C1">
        <w:t>Ethiopia</w:t>
      </w:r>
      <w:r w:rsidR="00B02322">
        <w:t xml:space="preserve"> </w:t>
      </w:r>
      <w:r w:rsidR="004264C1">
        <w:t xml:space="preserve">went through </w:t>
      </w:r>
      <w:r w:rsidR="00B02322">
        <w:t xml:space="preserve">a </w:t>
      </w:r>
      <w:r w:rsidR="004264C1">
        <w:t>horrendous period</w:t>
      </w:r>
      <w:r w:rsidR="00B02322">
        <w:t xml:space="preserve"> of </w:t>
      </w:r>
      <w:r w:rsidR="004264C1">
        <w:t>deeply</w:t>
      </w:r>
      <w:r w:rsidR="00B02322">
        <w:t xml:space="preserve"> misguide</w:t>
      </w:r>
      <w:r w:rsidR="009E12BE">
        <w:t>d</w:t>
      </w:r>
      <w:r w:rsidR="00B02322">
        <w:t xml:space="preserve"> </w:t>
      </w:r>
      <w:r w:rsidR="004264C1">
        <w:t>policies</w:t>
      </w:r>
      <w:r w:rsidR="00B02322">
        <w:t xml:space="preserve">, </w:t>
      </w:r>
      <w:r w:rsidR="004264C1">
        <w:t>decline of the agricultural sector i</w:t>
      </w:r>
      <w:r w:rsidR="00B02322">
        <w:t xml:space="preserve">n </w:t>
      </w:r>
      <w:r w:rsidR="004264C1">
        <w:t>both</w:t>
      </w:r>
      <w:r w:rsidR="00B02322">
        <w:t xml:space="preserve"> </w:t>
      </w:r>
      <w:r w:rsidR="004264C1">
        <w:t xml:space="preserve">cropped </w:t>
      </w:r>
      <w:r w:rsidR="00B02322">
        <w:t xml:space="preserve">area and </w:t>
      </w:r>
      <w:r w:rsidR="004264C1">
        <w:t>intensity</w:t>
      </w:r>
      <w:r w:rsidR="00B02322">
        <w:t xml:space="preserve">, and </w:t>
      </w:r>
      <w:r w:rsidR="004264C1">
        <w:t>disruptions from civil war</w:t>
      </w:r>
      <w:r w:rsidR="00B02322">
        <w:t xml:space="preserve">. In the </w:t>
      </w:r>
      <w:r w:rsidR="004264C1">
        <w:t>first</w:t>
      </w:r>
      <w:r w:rsidR="00B02322">
        <w:t xml:space="preserve"> few years after </w:t>
      </w:r>
      <w:r w:rsidR="004264C1">
        <w:t>accession of</w:t>
      </w:r>
      <w:r w:rsidR="00B02322">
        <w:t xml:space="preserve"> the</w:t>
      </w:r>
      <w:r w:rsidR="004264C1">
        <w:t xml:space="preserve"> present</w:t>
      </w:r>
      <w:r w:rsidR="00B02322">
        <w:t xml:space="preserve"> government growth from recovery </w:t>
      </w:r>
      <w:r w:rsidR="004264C1">
        <w:t>could</w:t>
      </w:r>
      <w:r w:rsidR="00B02322">
        <w:t xml:space="preserve"> be expected. It is likely </w:t>
      </w:r>
      <w:r w:rsidR="004264C1">
        <w:t>that</w:t>
      </w:r>
      <w:r w:rsidR="00B02322">
        <w:t xml:space="preserve"> the recovery of area and </w:t>
      </w:r>
      <w:r w:rsidR="004264C1">
        <w:t>quality</w:t>
      </w:r>
      <w:r w:rsidR="00B02322">
        <w:t xml:space="preserve"> of husbandry </w:t>
      </w:r>
      <w:r w:rsidR="004264C1">
        <w:t>continued beyond 1995 helping</w:t>
      </w:r>
      <w:r w:rsidR="00B02322">
        <w:t xml:space="preserve"> </w:t>
      </w:r>
      <w:r w:rsidR="004264C1">
        <w:t>explain</w:t>
      </w:r>
      <w:r w:rsidR="00B02322">
        <w:t xml:space="preserve"> the </w:t>
      </w:r>
      <w:r w:rsidR="004264C1">
        <w:t>early</w:t>
      </w:r>
      <w:r w:rsidR="00B02322">
        <w:t xml:space="preserve"> </w:t>
      </w:r>
      <w:r w:rsidR="004264C1">
        <w:t>high</w:t>
      </w:r>
      <w:r w:rsidR="00B02322">
        <w:t xml:space="preserve"> </w:t>
      </w:r>
      <w:r w:rsidR="004264C1">
        <w:t>growth</w:t>
      </w:r>
      <w:r w:rsidR="00B02322">
        <w:t xml:space="preserve"> </w:t>
      </w:r>
      <w:r w:rsidR="004264C1">
        <w:t>rate</w:t>
      </w:r>
      <w:r w:rsidR="00B02322">
        <w:t>.</w:t>
      </w:r>
    </w:p>
    <w:p w:rsidR="00BC0435" w:rsidRDefault="00BC0435" w:rsidP="005B21A4">
      <w:pPr>
        <w:spacing w:line="480" w:lineRule="auto"/>
      </w:pPr>
      <w:r>
        <w:t>The Policy and Investment Framework (PIF) for the current plan analyzed the growth rate for several years from the early 1990’s,</w:t>
      </w:r>
      <w:r>
        <w:rPr>
          <w:rStyle w:val="FootnoteReference"/>
        </w:rPr>
        <w:footnoteReference w:id="8"/>
      </w:r>
      <w:r>
        <w:t xml:space="preserve">  and concluded that the growth rate had been on the order of seven percent at that time. Further analysis made it clear that that growth could not be explained by modern technology. T</w:t>
      </w:r>
      <w:r w:rsidR="009E12BE">
        <w:t xml:space="preserve">he base and the </w:t>
      </w:r>
      <w:r>
        <w:t xml:space="preserve">growth rates for improved seed and inorganic fertilizer were simply too small to explain </w:t>
      </w:r>
      <w:r w:rsidR="00843D90">
        <w:t xml:space="preserve">even a small percentage of </w:t>
      </w:r>
      <w:r>
        <w:t>that growth rate</w:t>
      </w:r>
      <w:r w:rsidR="006E69FE">
        <w:t>. (Ethiopia, Government of 2010.)</w:t>
      </w:r>
      <w:r>
        <w:t xml:space="preserve"> </w:t>
      </w:r>
    </w:p>
    <w:p w:rsidR="00BC0435" w:rsidRDefault="00BC0435" w:rsidP="005B21A4">
      <w:pPr>
        <w:spacing w:line="480" w:lineRule="auto"/>
      </w:pPr>
      <w:r>
        <w:t xml:space="preserve">The conclusion in the PIF was that the growth was from area expansion, some of which was recovery from the decline in the </w:t>
      </w:r>
      <w:proofErr w:type="spellStart"/>
      <w:r>
        <w:t>Dergue</w:t>
      </w:r>
      <w:proofErr w:type="spellEnd"/>
      <w:r>
        <w:t xml:space="preserve"> period, intensification of</w:t>
      </w:r>
      <w:r w:rsidR="00843D90">
        <w:t xml:space="preserve"> traditional </w:t>
      </w:r>
      <w:r w:rsidR="006C5E2B">
        <w:t xml:space="preserve">labor intensive </w:t>
      </w:r>
      <w:r w:rsidR="00843D90">
        <w:t>practices</w:t>
      </w:r>
      <w:r w:rsidR="004264C1">
        <w:t>,</w:t>
      </w:r>
      <w:r w:rsidR="00843D90">
        <w:t xml:space="preserve"> and </w:t>
      </w:r>
      <w:r>
        <w:t>large</w:t>
      </w:r>
      <w:r w:rsidR="004264C1">
        <w:t xml:space="preserve"> increase in the road network as explained above.</w:t>
      </w:r>
      <w:r>
        <w:t xml:space="preserve"> In the earlier part of the period the cultivated area expansion was rapid and then slowed somewhat. By that time the expansion of the road network was underway and would be expected to bring additional intensification with markedly improved price relationships (Minton et.al. 2012.) However another factor entered. </w:t>
      </w:r>
    </w:p>
    <w:p w:rsidR="00BC0435" w:rsidRDefault="00BC0435" w:rsidP="005B21A4">
      <w:pPr>
        <w:spacing w:line="480" w:lineRule="auto"/>
      </w:pPr>
      <w:r>
        <w:t xml:space="preserve">The extension service was expending at a phenomenal rate, on the way to the present 63,000 extension officers. Because these agents were based at the </w:t>
      </w:r>
      <w:proofErr w:type="spellStart"/>
      <w:r>
        <w:t>Kebela</w:t>
      </w:r>
      <w:proofErr w:type="spellEnd"/>
      <w:r>
        <w:t xml:space="preserve"> level they met the bulk of the farmers in </w:t>
      </w:r>
      <w:r w:rsidR="008E3D31">
        <w:t xml:space="preserve">their </w:t>
      </w:r>
      <w:r w:rsidR="008E3D31">
        <w:lastRenderedPageBreak/>
        <w:t xml:space="preserve">area. Farmers </w:t>
      </w:r>
      <w:r>
        <w:t>have a good impression of the extension agents.</w:t>
      </w:r>
      <w:r>
        <w:rPr>
          <w:rStyle w:val="FootnoteReference"/>
        </w:rPr>
        <w:footnoteReference w:id="9"/>
      </w:r>
      <w:r>
        <w:t xml:space="preserve"> They are poorly trained, of course, but they are dealing with farmers at a very low level of productivity as well. And they</w:t>
      </w:r>
      <w:r w:rsidR="00843D90">
        <w:t xml:space="preserve"> worked in a context </w:t>
      </w:r>
      <w:r>
        <w:t xml:space="preserve">of </w:t>
      </w:r>
      <w:r w:rsidR="00843D90">
        <w:t xml:space="preserve">national </w:t>
      </w:r>
      <w:r>
        <w:t xml:space="preserve">exhortation with respect to the Prime Ministers vision for the country and the strategy for implementing it. Agriculture was publicly very front and center in the strategy. </w:t>
      </w:r>
    </w:p>
    <w:p w:rsidR="00A11C8A" w:rsidRDefault="00BC0435" w:rsidP="005B21A4">
      <w:pPr>
        <w:spacing w:line="480" w:lineRule="auto"/>
      </w:pPr>
      <w:r>
        <w:t>Thus, in that early period, the infrastructure investment, the national drive, and the extension agents made a difference, and the small impact of modern technology must have had an attitudinal impact as well. As a reference point, in India, in the early years after independence the agricultural growth rate accelerated sharply, the area expanded and yields increased (Mellor et. al 1968.) During that period the same conditions as in Ethiopia held about modern technology. It was being pushed and must have affected attitudes, but the base was too low to allow much impact. India expanded its extension service but it was far smaller than the huge effort in Ethiopia. The expansion of the road network was not nearly as massive. The Ethiopian commitment to an agricultural strategy and greater current knowledge of</w:t>
      </w:r>
      <w:r w:rsidR="009F3865">
        <w:t xml:space="preserve"> agricultural</w:t>
      </w:r>
      <w:r>
        <w:t xml:space="preserve"> development (as </w:t>
      </w:r>
      <w:r w:rsidR="00476929">
        <w:t xml:space="preserve">later </w:t>
      </w:r>
      <w:r>
        <w:t>represented in CAADP) also favored more rapid growth for Ethiopia. Thus, it is logical that Ethiopia would have grown much faster than India at a similar stage of development even though the mechanism was similar.</w:t>
      </w:r>
    </w:p>
    <w:p w:rsidR="00476929" w:rsidRDefault="00476929" w:rsidP="005B21A4">
      <w:pPr>
        <w:spacing w:line="480" w:lineRule="auto"/>
      </w:pPr>
      <w:r>
        <w:t>Phase II – Seed/Fertilizer Based Growth</w:t>
      </w:r>
    </w:p>
    <w:p w:rsidR="00476929" w:rsidRDefault="004264C1" w:rsidP="005B21A4">
      <w:pPr>
        <w:spacing w:line="480" w:lineRule="auto"/>
      </w:pPr>
      <w:r>
        <w:t>Th</w:t>
      </w:r>
      <w:r w:rsidR="00843D90">
        <w:t>e</w:t>
      </w:r>
      <w:r>
        <w:t xml:space="preserve"> </w:t>
      </w:r>
      <w:r w:rsidR="00476929">
        <w:t>PIF made</w:t>
      </w:r>
      <w:r w:rsidR="00843D90">
        <w:t xml:space="preserve"> a</w:t>
      </w:r>
      <w:r>
        <w:t xml:space="preserve"> </w:t>
      </w:r>
      <w:r w:rsidR="00843D90">
        <w:t>p</w:t>
      </w:r>
      <w:r>
        <w:t>ow</w:t>
      </w:r>
      <w:r w:rsidR="00843D90">
        <w:t>erfu</w:t>
      </w:r>
      <w:r>
        <w:t>l</w:t>
      </w:r>
      <w:r w:rsidR="00843D90">
        <w:t xml:space="preserve"> </w:t>
      </w:r>
      <w:r>
        <w:t xml:space="preserve">argument </w:t>
      </w:r>
      <w:r w:rsidR="00843D90">
        <w:t xml:space="preserve">that </w:t>
      </w:r>
      <w:r>
        <w:t>while</w:t>
      </w:r>
      <w:r w:rsidR="00843D90">
        <w:t xml:space="preserve"> </w:t>
      </w:r>
      <w:r>
        <w:t>the</w:t>
      </w:r>
      <w:r w:rsidR="00843D90">
        <w:t xml:space="preserve"> </w:t>
      </w:r>
      <w:r>
        <w:t>growth</w:t>
      </w:r>
      <w:r w:rsidR="00843D90">
        <w:t xml:space="preserve"> rate up to 2010 had been </w:t>
      </w:r>
      <w:r>
        <w:t>exemplary</w:t>
      </w:r>
      <w:r w:rsidR="00843D90">
        <w:t xml:space="preserve"> it w</w:t>
      </w:r>
      <w:r>
        <w:t>a</w:t>
      </w:r>
      <w:r w:rsidR="00843D90">
        <w:t>s</w:t>
      </w:r>
      <w:r>
        <w:t xml:space="preserve"> </w:t>
      </w:r>
      <w:r w:rsidR="00843D90">
        <w:t>b</w:t>
      </w:r>
      <w:r>
        <w:t>a</w:t>
      </w:r>
      <w:r w:rsidR="00843D90">
        <w:t>sed</w:t>
      </w:r>
      <w:r>
        <w:t xml:space="preserve"> o</w:t>
      </w:r>
      <w:r w:rsidR="00843D90">
        <w:t xml:space="preserve">n processes </w:t>
      </w:r>
      <w:r>
        <w:t>that</w:t>
      </w:r>
      <w:r w:rsidR="00843D90">
        <w:t xml:space="preserve"> </w:t>
      </w:r>
      <w:r>
        <w:t>would</w:t>
      </w:r>
      <w:r w:rsidR="00843D90">
        <w:t xml:space="preserve"> s</w:t>
      </w:r>
      <w:r w:rsidR="00476929">
        <w:t>o</w:t>
      </w:r>
      <w:r w:rsidR="00843D90">
        <w:t>on run out</w:t>
      </w:r>
      <w:r w:rsidR="00145D07">
        <w:t xml:space="preserve"> (Ethiopia 2010</w:t>
      </w:r>
      <w:r w:rsidR="00843D90">
        <w:t>.</w:t>
      </w:r>
      <w:r w:rsidR="00145D07">
        <w:t>)</w:t>
      </w:r>
      <w:r w:rsidR="00843D90">
        <w:t xml:space="preserve"> It </w:t>
      </w:r>
      <w:r>
        <w:t>was</w:t>
      </w:r>
      <w:r w:rsidR="00843D90">
        <w:t xml:space="preserve"> </w:t>
      </w:r>
      <w:r>
        <w:t>essential that t</w:t>
      </w:r>
      <w:r w:rsidR="00843D90">
        <w:t>he</w:t>
      </w:r>
      <w:r>
        <w:t xml:space="preserve"> strategy</w:t>
      </w:r>
      <w:r w:rsidR="00843D90">
        <w:t xml:space="preserve"> change. The central elem</w:t>
      </w:r>
      <w:r>
        <w:t>ent</w:t>
      </w:r>
      <w:r w:rsidR="00843D90">
        <w:t xml:space="preserve"> of </w:t>
      </w:r>
      <w:r>
        <w:t>that</w:t>
      </w:r>
      <w:r w:rsidR="00843D90">
        <w:t xml:space="preserve"> change w</w:t>
      </w:r>
      <w:r>
        <w:t>ou</w:t>
      </w:r>
      <w:r w:rsidR="00843D90">
        <w:t xml:space="preserve">ld be very </w:t>
      </w:r>
      <w:r>
        <w:t>rapid</w:t>
      </w:r>
      <w:r w:rsidR="00843D90">
        <w:t xml:space="preserve"> (15 </w:t>
      </w:r>
      <w:r>
        <w:t>percent</w:t>
      </w:r>
      <w:r w:rsidR="00843D90">
        <w:t xml:space="preserve"> growth rate </w:t>
      </w:r>
      <w:r>
        <w:t>recommend</w:t>
      </w:r>
      <w:r w:rsidR="00843D90">
        <w:t xml:space="preserve">) </w:t>
      </w:r>
      <w:r w:rsidR="00476929">
        <w:t>rat</w:t>
      </w:r>
      <w:r>
        <w:t>e of</w:t>
      </w:r>
      <w:r w:rsidR="00843D90">
        <w:t xml:space="preserve"> </w:t>
      </w:r>
      <w:r>
        <w:t>increase in</w:t>
      </w:r>
      <w:r w:rsidR="00843D90">
        <w:t xml:space="preserve"> fertilizer </w:t>
      </w:r>
      <w:r>
        <w:t>us. It</w:t>
      </w:r>
      <w:r w:rsidR="00843D90">
        <w:t xml:space="preserve"> was clear that </w:t>
      </w:r>
      <w:r>
        <w:t>would</w:t>
      </w:r>
      <w:r w:rsidR="00843D90">
        <w:t xml:space="preserve"> </w:t>
      </w:r>
      <w:r w:rsidR="009F3865">
        <w:t xml:space="preserve">also </w:t>
      </w:r>
      <w:r>
        <w:t>require</w:t>
      </w:r>
      <w:r w:rsidR="00843D90">
        <w:t xml:space="preserve"> major </w:t>
      </w:r>
      <w:r w:rsidR="00476929">
        <w:t>change in</w:t>
      </w:r>
      <w:r w:rsidR="00843D90">
        <w:t xml:space="preserve"> the seed </w:t>
      </w:r>
      <w:r>
        <w:t>supply</w:t>
      </w:r>
      <w:r w:rsidR="00843D90">
        <w:t xml:space="preserve"> system – </w:t>
      </w:r>
      <w:r>
        <w:t>with</w:t>
      </w:r>
      <w:r w:rsidR="00843D90">
        <w:t xml:space="preserve"> </w:t>
      </w:r>
      <w:r>
        <w:t>encouragement</w:t>
      </w:r>
      <w:r w:rsidR="00843D90">
        <w:t xml:space="preserve"> of </w:t>
      </w:r>
      <w:r>
        <w:t>private</w:t>
      </w:r>
      <w:r w:rsidR="00843D90">
        <w:t xml:space="preserve"> sector as </w:t>
      </w:r>
      <w:r>
        <w:t>well public sector hy</w:t>
      </w:r>
      <w:r w:rsidR="00843D90">
        <w:t>brid seed</w:t>
      </w:r>
      <w:r>
        <w:t xml:space="preserve"> </w:t>
      </w:r>
      <w:r w:rsidR="00843D90">
        <w:t>product</w:t>
      </w:r>
      <w:r>
        <w:t>io</w:t>
      </w:r>
      <w:r w:rsidR="00843D90">
        <w:t xml:space="preserve">n and </w:t>
      </w:r>
      <w:r>
        <w:t>growth of</w:t>
      </w:r>
      <w:r w:rsidR="00843D90">
        <w:t xml:space="preserve"> community </w:t>
      </w:r>
      <w:r>
        <w:t>based</w:t>
      </w:r>
      <w:r w:rsidR="00843D90">
        <w:t xml:space="preserve"> </w:t>
      </w:r>
      <w:r>
        <w:t>relatively</w:t>
      </w:r>
      <w:r w:rsidR="00843D90">
        <w:t xml:space="preserve"> small scale efforts for open </w:t>
      </w:r>
      <w:r>
        <w:t xml:space="preserve">pollinated </w:t>
      </w:r>
      <w:r w:rsidR="00843D90">
        <w:t xml:space="preserve">seed. </w:t>
      </w:r>
      <w:r w:rsidR="006531D1">
        <w:t xml:space="preserve">This </w:t>
      </w:r>
      <w:r w:rsidR="008E3D31">
        <w:t>growth</w:t>
      </w:r>
      <w:r w:rsidR="003E6C8B">
        <w:t xml:space="preserve"> must be seen in the </w:t>
      </w:r>
      <w:r w:rsidR="003E6C8B">
        <w:lastRenderedPageBreak/>
        <w:t xml:space="preserve">context of </w:t>
      </w:r>
      <w:r w:rsidR="008E3D31">
        <w:t>exceeding</w:t>
      </w:r>
      <w:r w:rsidR="006531D1">
        <w:t xml:space="preserve"> the</w:t>
      </w:r>
      <w:r w:rsidR="008E3D31">
        <w:t xml:space="preserve"> </w:t>
      </w:r>
      <w:r w:rsidR="006531D1">
        <w:t xml:space="preserve">CAADP </w:t>
      </w:r>
      <w:r w:rsidR="008E3D31">
        <w:t>target of</w:t>
      </w:r>
      <w:r w:rsidR="006531D1">
        <w:t xml:space="preserve"> 10 </w:t>
      </w:r>
      <w:r w:rsidR="008E3D31">
        <w:t>percent</w:t>
      </w:r>
      <w:r w:rsidR="006531D1">
        <w:t xml:space="preserve"> </w:t>
      </w:r>
      <w:r w:rsidR="008E3D31">
        <w:t>of</w:t>
      </w:r>
      <w:r w:rsidR="006531D1">
        <w:t xml:space="preserve"> government expenditure </w:t>
      </w:r>
      <w:r w:rsidR="008E3D31">
        <w:t xml:space="preserve">on </w:t>
      </w:r>
      <w:r w:rsidR="003E6C8B">
        <w:t xml:space="preserve">agriculture, and </w:t>
      </w:r>
      <w:r w:rsidR="008E3D31">
        <w:t>continued large</w:t>
      </w:r>
      <w:r w:rsidR="006531D1">
        <w:t xml:space="preserve"> scale </w:t>
      </w:r>
      <w:r w:rsidR="008E3D31">
        <w:t xml:space="preserve">expansion </w:t>
      </w:r>
      <w:r w:rsidR="006531D1">
        <w:t xml:space="preserve">of </w:t>
      </w:r>
      <w:r w:rsidR="008E3D31">
        <w:t>the</w:t>
      </w:r>
      <w:r w:rsidR="003E6C8B">
        <w:t xml:space="preserve"> road network</w:t>
      </w:r>
      <w:r w:rsidR="006531D1">
        <w:t>.</w:t>
      </w:r>
    </w:p>
    <w:p w:rsidR="00476929" w:rsidRDefault="00476929" w:rsidP="005B21A4">
      <w:pPr>
        <w:spacing w:line="480" w:lineRule="auto"/>
      </w:pPr>
      <w:r>
        <w:t xml:space="preserve">There was considerable controversy about this change </w:t>
      </w:r>
      <w:r w:rsidR="009677F8">
        <w:t>i</w:t>
      </w:r>
      <w:r>
        <w:t>n strategy. The past growth had been cheap</w:t>
      </w:r>
      <w:r w:rsidR="009677F8">
        <w:t xml:space="preserve"> in</w:t>
      </w:r>
      <w:r>
        <w:t xml:space="preserve"> </w:t>
      </w:r>
      <w:r w:rsidR="009677F8">
        <w:t>reso</w:t>
      </w:r>
      <w:r>
        <w:t>u</w:t>
      </w:r>
      <w:r w:rsidR="009677F8">
        <w:t>r</w:t>
      </w:r>
      <w:r>
        <w:t xml:space="preserve">ces and successful. Why change? </w:t>
      </w:r>
      <w:r w:rsidR="003E6C8B">
        <w:t xml:space="preserve">The many, locally and in the donor community, </w:t>
      </w:r>
      <w:r w:rsidR="009677F8">
        <w:t xml:space="preserve">opposed </w:t>
      </w:r>
      <w:r w:rsidR="003E6C8B">
        <w:t>to</w:t>
      </w:r>
      <w:r w:rsidR="00AF5BFC">
        <w:t xml:space="preserve"> </w:t>
      </w:r>
      <w:r w:rsidR="009677F8">
        <w:t xml:space="preserve">emphasis on agriculture found this low cost strategy acceptable as well. </w:t>
      </w:r>
      <w:r>
        <w:t xml:space="preserve">In the event the Government did swing towards the </w:t>
      </w:r>
      <w:r w:rsidR="006C5E2B">
        <w:t xml:space="preserve">PIF recommended </w:t>
      </w:r>
      <w:r>
        <w:t>very high fertil</w:t>
      </w:r>
      <w:r w:rsidR="00AF5BFC">
        <w:t>izer target and radical change i</w:t>
      </w:r>
      <w:r>
        <w:t xml:space="preserve">n the size and institutional structure of the seed industry. These changes </w:t>
      </w:r>
      <w:r w:rsidR="009677F8">
        <w:t>were imperfec</w:t>
      </w:r>
      <w:r>
        <w:t>t but worked.</w:t>
      </w:r>
    </w:p>
    <w:p w:rsidR="000B10B1" w:rsidRDefault="008E3D31" w:rsidP="005B21A4">
      <w:pPr>
        <w:spacing w:line="480" w:lineRule="auto"/>
      </w:pPr>
      <w:r>
        <w:t>Fertilizer</w:t>
      </w:r>
      <w:r w:rsidR="009677F8">
        <w:t xml:space="preserve"> use expanded </w:t>
      </w:r>
      <w:r>
        <w:t xml:space="preserve">from </w:t>
      </w:r>
      <w:r w:rsidR="009677F8">
        <w:t>the</w:t>
      </w:r>
      <w:r>
        <w:t xml:space="preserve"> modest</w:t>
      </w:r>
      <w:r w:rsidR="000B10B1">
        <w:t xml:space="preserve"> base of 232,27</w:t>
      </w:r>
      <w:r w:rsidR="0054500F">
        <w:t>0 tons</w:t>
      </w:r>
      <w:r w:rsidR="004A53BF">
        <w:t xml:space="preserve"> in 2002</w:t>
      </w:r>
      <w:r w:rsidR="000B10B1">
        <w:t xml:space="preserve"> to 729,245</w:t>
      </w:r>
      <w:r w:rsidR="009677F8">
        <w:t xml:space="preserve"> tons </w:t>
      </w:r>
      <w:r>
        <w:t>by</w:t>
      </w:r>
      <w:r w:rsidR="000B10B1">
        <w:t xml:space="preserve"> 2013</w:t>
      </w:r>
      <w:r w:rsidR="00E65B92">
        <w:t xml:space="preserve"> (Figure 2</w:t>
      </w:r>
      <w:r w:rsidR="0054500F">
        <w:t>)</w:t>
      </w:r>
      <w:r w:rsidR="009677F8">
        <w:t xml:space="preserve">. </w:t>
      </w:r>
      <w:r w:rsidR="006531D1">
        <w:t xml:space="preserve"> </w:t>
      </w:r>
      <w:r w:rsidR="000B10B1">
        <w:t>The growth r</w:t>
      </w:r>
      <w:r w:rsidR="00752564">
        <w:t>a</w:t>
      </w:r>
      <w:r w:rsidR="000B10B1">
        <w:t>te for the whole period was eleven percent. It accelerated from n</w:t>
      </w:r>
      <w:r w:rsidR="00752564">
        <w:t>i</w:t>
      </w:r>
      <w:r w:rsidR="000B10B1">
        <w:t xml:space="preserve">ne </w:t>
      </w:r>
      <w:r w:rsidR="0040277C">
        <w:t>percent</w:t>
      </w:r>
      <w:r w:rsidR="000B10B1">
        <w:t xml:space="preserve"> from, 2002-2009 to 14 percent from 2009 to 2013. The increment</w:t>
      </w:r>
      <w:r w:rsidR="006531D1">
        <w:t xml:space="preserve"> to use </w:t>
      </w:r>
      <w:r w:rsidR="000B10B1">
        <w:t>from2012 to2013 was</w:t>
      </w:r>
      <w:r w:rsidR="00752564">
        <w:t xml:space="preserve"> 93,902</w:t>
      </w:r>
      <w:r w:rsidR="006531D1">
        <w:t xml:space="preserve"> tons.</w:t>
      </w:r>
      <w:r w:rsidR="00752564">
        <w:t xml:space="preserve"> </w:t>
      </w:r>
      <w:r w:rsidR="000B10B1">
        <w:t>That would be about</w:t>
      </w:r>
      <w:r w:rsidR="009D2DB4">
        <w:t xml:space="preserve"> </w:t>
      </w:r>
      <w:r w:rsidR="000B10B1">
        <w:t>56,000 tons of nutrients.</w:t>
      </w:r>
      <w:r w:rsidR="00752564">
        <w:t xml:space="preserve"> </w:t>
      </w:r>
      <w:r w:rsidR="0040277C">
        <w:t>Assuming</w:t>
      </w:r>
      <w:r w:rsidR="000B10B1">
        <w:t xml:space="preserve"> </w:t>
      </w:r>
      <w:r w:rsidR="0040277C">
        <w:t>that</w:t>
      </w:r>
      <w:r w:rsidR="000B10B1">
        <w:t xml:space="preserve"> </w:t>
      </w:r>
      <w:r w:rsidR="0040277C">
        <w:t>increment</w:t>
      </w:r>
      <w:r w:rsidR="000B10B1">
        <w:t xml:space="preserve"> was associated </w:t>
      </w:r>
      <w:r w:rsidR="0040277C">
        <w:t>with</w:t>
      </w:r>
      <w:r w:rsidR="000B10B1">
        <w:t xml:space="preserve"> improved seeds and a </w:t>
      </w:r>
      <w:r w:rsidR="0040277C">
        <w:t>consequent</w:t>
      </w:r>
      <w:r w:rsidR="000B10B1">
        <w:t xml:space="preserve"> 10 to 1 </w:t>
      </w:r>
      <w:r w:rsidR="0040277C">
        <w:t>production</w:t>
      </w:r>
      <w:r w:rsidR="000B10B1">
        <w:t xml:space="preserve"> rat</w:t>
      </w:r>
      <w:r w:rsidR="0040277C">
        <w:t xml:space="preserve">e </w:t>
      </w:r>
      <w:r w:rsidR="000B10B1">
        <w:t>would explain</w:t>
      </w:r>
      <w:r w:rsidR="00752564">
        <w:t xml:space="preserve"> 75 percent of the</w:t>
      </w:r>
      <w:r w:rsidR="0040277C">
        <w:t xml:space="preserve"> y</w:t>
      </w:r>
      <w:r w:rsidR="00A11C8A">
        <w:t>ield increment. That is a high</w:t>
      </w:r>
      <w:r w:rsidR="0040277C">
        <w:t xml:space="preserve"> </w:t>
      </w:r>
      <w:r w:rsidR="00752564">
        <w:t>pro</w:t>
      </w:r>
      <w:r w:rsidR="0040277C">
        <w:t>po</w:t>
      </w:r>
      <w:r w:rsidR="00752564">
        <w:t xml:space="preserve">rtion. </w:t>
      </w:r>
      <w:r w:rsidR="0040277C">
        <w:t>The</w:t>
      </w:r>
      <w:r w:rsidR="00752564">
        <w:t xml:space="preserve"> remainder would be </w:t>
      </w:r>
      <w:r w:rsidR="0040277C">
        <w:t xml:space="preserve">explained by the </w:t>
      </w:r>
      <w:r w:rsidR="00752564">
        <w:t>broader</w:t>
      </w:r>
      <w:r w:rsidR="0040277C">
        <w:t xml:space="preserve"> </w:t>
      </w:r>
      <w:r w:rsidR="00752564">
        <w:t>price</w:t>
      </w:r>
      <w:r w:rsidR="0040277C">
        <w:t xml:space="preserve"> </w:t>
      </w:r>
      <w:r w:rsidR="00752564">
        <w:t>effects</w:t>
      </w:r>
      <w:r w:rsidR="0040277C">
        <w:t xml:space="preserve"> </w:t>
      </w:r>
      <w:r w:rsidR="00752564">
        <w:t>from</w:t>
      </w:r>
      <w:r w:rsidR="0040277C">
        <w:t xml:space="preserve"> the</w:t>
      </w:r>
      <w:r w:rsidR="00752564">
        <w:t xml:space="preserve"> </w:t>
      </w:r>
      <w:r w:rsidR="0040277C">
        <w:t>massive</w:t>
      </w:r>
      <w:r w:rsidR="00752564">
        <w:t xml:space="preserve"> road investment (see Minton et. al. 2014,) and spread of new </w:t>
      </w:r>
      <w:r w:rsidR="0040277C">
        <w:t>varieties</w:t>
      </w:r>
      <w:r w:rsidR="00752564">
        <w:t xml:space="preserve"> and other </w:t>
      </w:r>
      <w:r w:rsidR="0040277C">
        <w:t xml:space="preserve">improved practices </w:t>
      </w:r>
      <w:r w:rsidR="00752564">
        <w:t xml:space="preserve">to the base </w:t>
      </w:r>
      <w:r w:rsidR="0040277C">
        <w:t>use</w:t>
      </w:r>
      <w:r w:rsidR="00A11C8A">
        <w:t xml:space="preserve"> of fertilizer.</w:t>
      </w:r>
    </w:p>
    <w:p w:rsidR="00E65B92" w:rsidRDefault="00E65B92" w:rsidP="005B21A4">
      <w:pPr>
        <w:spacing w:line="480" w:lineRule="auto"/>
      </w:pPr>
      <w:r>
        <w:t>Insert figure 2</w:t>
      </w:r>
    </w:p>
    <w:p w:rsidR="009D2DB4" w:rsidRDefault="009D2DB4" w:rsidP="005B21A4">
      <w:pPr>
        <w:spacing w:line="480" w:lineRule="auto"/>
      </w:pPr>
      <w:r>
        <w:t xml:space="preserve">The Governments control of imports and its commitment to meet the fertilizer target resulted </w:t>
      </w:r>
      <w:r w:rsidR="00AF5BFC">
        <w:t xml:space="preserve">in </w:t>
      </w:r>
      <w:r>
        <w:t>a supply push (see Desai</w:t>
      </w:r>
      <w:r w:rsidR="00A11C8A">
        <w:t xml:space="preserve"> 1982 </w:t>
      </w:r>
      <w:r>
        <w:t>for it</w:t>
      </w:r>
      <w:r w:rsidR="00AF5BFC">
        <w:t>s</w:t>
      </w:r>
      <w:r>
        <w:t xml:space="preserve"> importance)-pushing fertilizer ou</w:t>
      </w:r>
      <w:r w:rsidR="00AF5BFC">
        <w:t>t to the primary cooperatives, pre</w:t>
      </w:r>
      <w:r>
        <w:t xml:space="preserve">ssuring them </w:t>
      </w:r>
      <w:r w:rsidR="00AF5BFC">
        <w:t>(under complaints!) to move fer</w:t>
      </w:r>
      <w:r>
        <w:t>ti</w:t>
      </w:r>
      <w:r w:rsidR="00AF5BFC">
        <w:t>li</w:t>
      </w:r>
      <w:r>
        <w:t>zer</w:t>
      </w:r>
      <w:r w:rsidR="00AF5BFC">
        <w:t xml:space="preserve"> o</w:t>
      </w:r>
      <w:r>
        <w:t>n t</w:t>
      </w:r>
      <w:r w:rsidR="00AF5BFC">
        <w:t>o</w:t>
      </w:r>
      <w:r>
        <w:t xml:space="preserve"> the farmers. That with the extensions system brought the rapid growth.</w:t>
      </w:r>
      <w:r w:rsidR="006417B7">
        <w:rPr>
          <w:rStyle w:val="FootnoteReference"/>
        </w:rPr>
        <w:footnoteReference w:id="10"/>
      </w:r>
      <w:r w:rsidR="00274833">
        <w:t xml:space="preserve"> The rapid spread of the new </w:t>
      </w:r>
      <w:proofErr w:type="spellStart"/>
      <w:r w:rsidR="00274833">
        <w:t>teff</w:t>
      </w:r>
      <w:proofErr w:type="spellEnd"/>
      <w:r w:rsidR="00274833">
        <w:t xml:space="preserve"> variety, stated above, showed that the system for improved open pollinated seed had greatly increased its </w:t>
      </w:r>
      <w:proofErr w:type="spellStart"/>
      <w:r w:rsidR="00274833">
        <w:t>capacty</w:t>
      </w:r>
      <w:proofErr w:type="spellEnd"/>
      <w:r w:rsidR="00274833">
        <w:t>.</w:t>
      </w:r>
    </w:p>
    <w:p w:rsidR="00527339" w:rsidRDefault="008366F1" w:rsidP="005B21A4">
      <w:pPr>
        <w:spacing w:line="480" w:lineRule="auto"/>
        <w:rPr>
          <w:u w:val="single"/>
        </w:rPr>
      </w:pPr>
      <w:r>
        <w:rPr>
          <w:u w:val="single"/>
        </w:rPr>
        <w:lastRenderedPageBreak/>
        <w:t>Phase III –</w:t>
      </w:r>
      <w:r w:rsidR="006865F3">
        <w:rPr>
          <w:u w:val="single"/>
        </w:rPr>
        <w:t xml:space="preserve"> </w:t>
      </w:r>
      <w:r>
        <w:rPr>
          <w:u w:val="single"/>
        </w:rPr>
        <w:t>Keys Priorities</w:t>
      </w:r>
      <w:r w:rsidR="006865F3">
        <w:rPr>
          <w:u w:val="single"/>
        </w:rPr>
        <w:t xml:space="preserve"> for the Next Phase</w:t>
      </w:r>
    </w:p>
    <w:p w:rsidR="00D12F22" w:rsidRDefault="00830BB1" w:rsidP="005B21A4">
      <w:pPr>
        <w:spacing w:line="480" w:lineRule="auto"/>
      </w:pPr>
      <w:r>
        <w:t>T</w:t>
      </w:r>
      <w:r w:rsidR="002B1A27">
        <w:t>he</w:t>
      </w:r>
      <w:r w:rsidR="00494F18">
        <w:t xml:space="preserve"> seven percent</w:t>
      </w:r>
      <w:r>
        <w:t xml:space="preserve"> growth rate is </w:t>
      </w:r>
      <w:r w:rsidR="00D12F22">
        <w:t>catch-up growth.</w:t>
      </w:r>
      <w:r w:rsidR="002806FF">
        <w:t xml:space="preserve"> </w:t>
      </w:r>
      <w:r w:rsidR="001C704C">
        <w:t>In</w:t>
      </w:r>
      <w:r w:rsidR="00D12F22">
        <w:t xml:space="preserve"> the</w:t>
      </w:r>
      <w:r w:rsidR="007C425A">
        <w:t xml:space="preserve"> </w:t>
      </w:r>
      <w:r w:rsidR="00D12F22">
        <w:t>long run</w:t>
      </w:r>
      <w:r w:rsidR="007C425A">
        <w:t>, when Ethiopia has caught up</w:t>
      </w:r>
      <w:r w:rsidR="002B1A27">
        <w:t xml:space="preserve"> to the more advanced countries</w:t>
      </w:r>
      <w:r w:rsidR="007C425A">
        <w:t>,</w:t>
      </w:r>
      <w:r w:rsidR="00D12F22">
        <w:t xml:space="preserve"> land as a </w:t>
      </w:r>
      <w:r w:rsidR="001C704C">
        <w:t>source</w:t>
      </w:r>
      <w:r w:rsidR="00D12F22">
        <w:t xml:space="preserve"> of growth will </w:t>
      </w:r>
      <w:r w:rsidR="001C704C">
        <w:t>lose its</w:t>
      </w:r>
      <w:r w:rsidR="00D12F22">
        <w:t xml:space="preserve"> </w:t>
      </w:r>
      <w:r w:rsidR="001C704C">
        <w:t>position</w:t>
      </w:r>
      <w:r w:rsidR="002806FF">
        <w:t xml:space="preserve"> </w:t>
      </w:r>
      <w:r w:rsidR="00D12F22">
        <w:t>and</w:t>
      </w:r>
      <w:r w:rsidR="002806FF">
        <w:t xml:space="preserve"> </w:t>
      </w:r>
      <w:r w:rsidR="00D12F22">
        <w:t>yield</w:t>
      </w:r>
      <w:r w:rsidR="002806FF">
        <w:t xml:space="preserve"> </w:t>
      </w:r>
      <w:r w:rsidR="00392E51">
        <w:t xml:space="preserve">growth will be similar </w:t>
      </w:r>
      <w:r w:rsidR="009F7358">
        <w:t xml:space="preserve">to </w:t>
      </w:r>
      <w:r w:rsidR="001C704C">
        <w:t>the</w:t>
      </w:r>
      <w:r w:rsidR="002806FF">
        <w:t xml:space="preserve"> </w:t>
      </w:r>
      <w:r w:rsidR="00392E51">
        <w:t xml:space="preserve">rate generated in </w:t>
      </w:r>
      <w:r w:rsidR="001C704C">
        <w:t>research</w:t>
      </w:r>
      <w:r w:rsidR="00D12F22">
        <w:t xml:space="preserve"> </w:t>
      </w:r>
      <w:r w:rsidR="001C704C">
        <w:t>stations</w:t>
      </w:r>
      <w:r w:rsidR="002806FF">
        <w:t xml:space="preserve"> </w:t>
      </w:r>
      <w:r w:rsidR="00D12F22">
        <w:t>of</w:t>
      </w:r>
      <w:r w:rsidR="002806FF">
        <w:t xml:space="preserve"> </w:t>
      </w:r>
      <w:r w:rsidR="00D12F22">
        <w:t>currently</w:t>
      </w:r>
      <w:r w:rsidR="002806FF">
        <w:t xml:space="preserve"> </w:t>
      </w:r>
      <w:r w:rsidR="002B1A27">
        <w:t>advanced countries, e.g. around two percent</w:t>
      </w:r>
      <w:r w:rsidR="00D12F22">
        <w:t xml:space="preserve">. </w:t>
      </w:r>
      <w:r w:rsidR="009F7358">
        <w:t>The questions should be</w:t>
      </w:r>
      <w:r w:rsidR="00D12F22">
        <w:t>: 1.For how</w:t>
      </w:r>
      <w:r w:rsidR="002806FF">
        <w:t xml:space="preserve"> </w:t>
      </w:r>
      <w:r w:rsidR="00D12F22">
        <w:t>long</w:t>
      </w:r>
      <w:r w:rsidR="002806FF">
        <w:t xml:space="preserve"> </w:t>
      </w:r>
      <w:r w:rsidR="001C704C">
        <w:t>can</w:t>
      </w:r>
      <w:r w:rsidR="00D12F22">
        <w:t xml:space="preserve"> </w:t>
      </w:r>
      <w:r w:rsidR="001C704C">
        <w:t>the</w:t>
      </w:r>
      <w:r w:rsidR="00D12F22">
        <w:t xml:space="preserve"> current rate be maintained? </w:t>
      </w:r>
      <w:r w:rsidR="001C704C">
        <w:t>2.  What</w:t>
      </w:r>
      <w:r w:rsidR="00D12F22">
        <w:t xml:space="preserve"> are the </w:t>
      </w:r>
      <w:r w:rsidR="001C704C">
        <w:t>requirements</w:t>
      </w:r>
      <w:r w:rsidR="00D12F22">
        <w:t xml:space="preserve"> for doing so?</w:t>
      </w:r>
    </w:p>
    <w:p w:rsidR="00274833" w:rsidRDefault="00830BB1" w:rsidP="005B21A4">
      <w:pPr>
        <w:spacing w:line="480" w:lineRule="auto"/>
      </w:pPr>
      <w:r>
        <w:t>S</w:t>
      </w:r>
      <w:r w:rsidR="00F64CC4">
        <w:t>implistically, from FAO data for recent years, average cereal yields in France are over</w:t>
      </w:r>
      <w:r w:rsidR="00581B69">
        <w:t xml:space="preserve"> three times those of Ethiopia. A</w:t>
      </w:r>
      <w:r w:rsidR="009711E9">
        <w:t>ssuming</w:t>
      </w:r>
      <w:r w:rsidR="002B1A27">
        <w:t xml:space="preserve"> France’s</w:t>
      </w:r>
      <w:r w:rsidR="00F64CC4">
        <w:t xml:space="preserve"> </w:t>
      </w:r>
      <w:r w:rsidR="009711E9">
        <w:t>yields</w:t>
      </w:r>
      <w:r w:rsidR="00F64CC4">
        <w:t xml:space="preserve"> </w:t>
      </w:r>
      <w:r w:rsidR="009711E9">
        <w:t>increase</w:t>
      </w:r>
      <w:r w:rsidR="00F64CC4">
        <w:t xml:space="preserve"> at two </w:t>
      </w:r>
      <w:r w:rsidR="009711E9">
        <w:t>percent</w:t>
      </w:r>
      <w:r>
        <w:t xml:space="preserve"> </w:t>
      </w:r>
      <w:r w:rsidR="009711E9">
        <w:t>p</w:t>
      </w:r>
      <w:r w:rsidR="00F64CC4">
        <w:t xml:space="preserve">er </w:t>
      </w:r>
      <w:r w:rsidR="009711E9">
        <w:t>year f</w:t>
      </w:r>
      <w:r w:rsidR="00F64CC4">
        <w:t>r</w:t>
      </w:r>
      <w:r w:rsidR="009711E9">
        <w:t>om</w:t>
      </w:r>
      <w:r w:rsidR="00F64CC4">
        <w:t xml:space="preserve"> con</w:t>
      </w:r>
      <w:r w:rsidR="009711E9">
        <w:t>tinu</w:t>
      </w:r>
      <w:r w:rsidR="00F64CC4">
        <w:t xml:space="preserve">ed research </w:t>
      </w:r>
      <w:r w:rsidR="009711E9">
        <w:t>would</w:t>
      </w:r>
      <w:r w:rsidR="00F64CC4">
        <w:t xml:space="preserve"> allow the</w:t>
      </w:r>
      <w:r w:rsidR="00A24E1B">
        <w:t xml:space="preserve"> </w:t>
      </w:r>
      <w:r w:rsidR="00B82536">
        <w:t>7.0 perce</w:t>
      </w:r>
      <w:r w:rsidR="008D3BDD">
        <w:t xml:space="preserve">nt rate to be maintained for </w:t>
      </w:r>
      <w:r w:rsidR="00A24E1B">
        <w:t xml:space="preserve">another </w:t>
      </w:r>
      <w:r w:rsidR="006865F3">
        <w:t>20 years</w:t>
      </w:r>
      <w:r w:rsidR="0054500F">
        <w:t xml:space="preserve"> of catch-up growth</w:t>
      </w:r>
      <w:r w:rsidR="00F64CC4">
        <w:t>.</w:t>
      </w:r>
    </w:p>
    <w:p w:rsidR="00AF5BFC" w:rsidRDefault="00037FC0" w:rsidP="005B21A4">
      <w:pPr>
        <w:spacing w:line="480" w:lineRule="auto"/>
      </w:pPr>
      <w:r>
        <w:t xml:space="preserve">A simple seed/fertilizer strategy, as at present, cannot maintain the seven percent growth rate. </w:t>
      </w:r>
      <w:r w:rsidR="00BD1EFC">
        <w:t xml:space="preserve">That becomes clear as the needs for the future are stated. </w:t>
      </w:r>
      <w:r>
        <w:t xml:space="preserve">One way to suggest </w:t>
      </w:r>
      <w:r w:rsidR="00BD1EFC">
        <w:t>those needs is to note conditions</w:t>
      </w:r>
      <w:r>
        <w:t xml:space="preserve"> in which all </w:t>
      </w:r>
      <w:r w:rsidR="00FC697F">
        <w:t>high productivity agriculture</w:t>
      </w:r>
      <w:r w:rsidR="009F7358">
        <w:t>s</w:t>
      </w:r>
      <w:r w:rsidR="00F30C86">
        <w:t xml:space="preserve"> </w:t>
      </w:r>
      <w:r w:rsidR="00FC697F">
        <w:t>have</w:t>
      </w:r>
      <w:r w:rsidR="00F30C86">
        <w:t xml:space="preserve"> </w:t>
      </w:r>
      <w:r w:rsidR="009F7358">
        <w:t xml:space="preserve">a </w:t>
      </w:r>
      <w:r w:rsidR="00FC697F">
        <w:t>large</w:t>
      </w:r>
      <w:r w:rsidR="00F30C86">
        <w:t xml:space="preserve"> </w:t>
      </w:r>
      <w:r w:rsidR="009F7358">
        <w:t xml:space="preserve">complex </w:t>
      </w:r>
      <w:r w:rsidR="00FC697F">
        <w:t>structure</w:t>
      </w:r>
      <w:r w:rsidR="00F30C86">
        <w:t xml:space="preserve"> </w:t>
      </w:r>
      <w:r w:rsidR="00FC697F">
        <w:t>and in</w:t>
      </w:r>
      <w:r w:rsidR="00F30C86">
        <w:t xml:space="preserve"> which </w:t>
      </w:r>
      <w:r w:rsidR="00FC697F">
        <w:t>Ethiopia</w:t>
      </w:r>
      <w:r w:rsidR="00F30C86">
        <w:t xml:space="preserve"> is </w:t>
      </w:r>
      <w:r w:rsidR="009F7358">
        <w:t xml:space="preserve">now markedly </w:t>
      </w:r>
      <w:r w:rsidR="00F30C86">
        <w:t>deficient.</w:t>
      </w:r>
      <w:r w:rsidR="001B546C">
        <w:t xml:space="preserve"> </w:t>
      </w:r>
      <w:r>
        <w:t xml:space="preserve">Six such areas stand out.  </w:t>
      </w:r>
      <w:r w:rsidR="00FC697F">
        <w:t>Briefly st</w:t>
      </w:r>
      <w:r w:rsidR="0054500F">
        <w:t xml:space="preserve">ating these </w:t>
      </w:r>
      <w:r w:rsidR="001B546C">
        <w:t>mak</w:t>
      </w:r>
      <w:r w:rsidR="009F7358">
        <w:t>es</w:t>
      </w:r>
      <w:r w:rsidR="001B546C">
        <w:t xml:space="preserve"> the p</w:t>
      </w:r>
      <w:r w:rsidR="00FC697F">
        <w:t>oi</w:t>
      </w:r>
      <w:r w:rsidR="001B546C">
        <w:t xml:space="preserve">nt first </w:t>
      </w:r>
      <w:r w:rsidR="00BD1EFC">
        <w:t xml:space="preserve">that simple seed fertilizer without other institutional support is ready to run down; second </w:t>
      </w:r>
      <w:r w:rsidR="00FC697F">
        <w:t>that</w:t>
      </w:r>
      <w:r w:rsidR="001B546C">
        <w:t xml:space="preserve"> the </w:t>
      </w:r>
      <w:r w:rsidR="00FC697F">
        <w:t>requirements</w:t>
      </w:r>
      <w:r w:rsidR="001B546C">
        <w:t xml:space="preserve"> for continuing the seven </w:t>
      </w:r>
      <w:r w:rsidR="002F2D23">
        <w:t>perc</w:t>
      </w:r>
      <w:r w:rsidR="00FC697F">
        <w:t>ent</w:t>
      </w:r>
      <w:r w:rsidR="001B546C">
        <w:t xml:space="preserve"> </w:t>
      </w:r>
      <w:r w:rsidR="00FC697F">
        <w:t>growth</w:t>
      </w:r>
      <w:r w:rsidR="001B546C">
        <w:t xml:space="preserve"> rate are </w:t>
      </w:r>
      <w:r w:rsidR="00FC697F">
        <w:t>currently</w:t>
      </w:r>
      <w:r w:rsidR="001B546C">
        <w:t xml:space="preserve"> known</w:t>
      </w:r>
      <w:r w:rsidR="00BD1EFC">
        <w:t xml:space="preserve">; third that </w:t>
      </w:r>
      <w:r w:rsidR="00FC697F">
        <w:t>efforts</w:t>
      </w:r>
      <w:r w:rsidR="001B546C">
        <w:t xml:space="preserve"> are </w:t>
      </w:r>
      <w:r w:rsidR="00FC697F">
        <w:t>underway</w:t>
      </w:r>
      <w:r w:rsidR="001B546C">
        <w:t xml:space="preserve"> </w:t>
      </w:r>
      <w:r w:rsidR="009F7358">
        <w:t>to meet them</w:t>
      </w:r>
      <w:r w:rsidR="00BD1EFC">
        <w:t>;</w:t>
      </w:r>
      <w:r w:rsidR="009F7358">
        <w:t xml:space="preserve"> </w:t>
      </w:r>
      <w:r w:rsidR="00BD1EFC">
        <w:t>and fourth</w:t>
      </w:r>
      <w:r w:rsidR="001B546C">
        <w:t xml:space="preserve"> that the </w:t>
      </w:r>
      <w:r w:rsidR="00FC697F">
        <w:t>requirements</w:t>
      </w:r>
      <w:r w:rsidR="009F7358">
        <w:t xml:space="preserve"> although</w:t>
      </w:r>
      <w:r w:rsidR="001B546C">
        <w:t xml:space="preserve"> feasible are not trivial.</w:t>
      </w:r>
      <w:r w:rsidR="00421109">
        <w:t xml:space="preserve"> </w:t>
      </w:r>
    </w:p>
    <w:p w:rsidR="00E56BFE" w:rsidRDefault="00DA08B3" w:rsidP="005B21A4">
      <w:pPr>
        <w:pStyle w:val="ListParagraph"/>
        <w:numPr>
          <w:ilvl w:val="0"/>
          <w:numId w:val="11"/>
        </w:numPr>
        <w:spacing w:line="480" w:lineRule="auto"/>
      </w:pPr>
      <w:r>
        <w:t>Livestock Sector. D</w:t>
      </w:r>
      <w:r w:rsidR="00FC697F">
        <w:t>omestic</w:t>
      </w:r>
      <w:r w:rsidR="00F30C86">
        <w:t xml:space="preserve"> demand for </w:t>
      </w:r>
      <w:r>
        <w:t xml:space="preserve">cereals for </w:t>
      </w:r>
      <w:r w:rsidR="00FC697F">
        <w:t>human</w:t>
      </w:r>
      <w:r w:rsidR="00F30C86">
        <w:t xml:space="preserve"> </w:t>
      </w:r>
      <w:r w:rsidR="00FC697F">
        <w:t>consumption</w:t>
      </w:r>
      <w:r w:rsidR="00F30C86">
        <w:t xml:space="preserve"> </w:t>
      </w:r>
      <w:r w:rsidR="009F7358">
        <w:t>h</w:t>
      </w:r>
      <w:r w:rsidR="00F30C86">
        <w:t xml:space="preserve">as </w:t>
      </w:r>
      <w:r w:rsidR="00FC697F">
        <w:t>large</w:t>
      </w:r>
      <w:r w:rsidR="009F7358">
        <w:t>ly</w:t>
      </w:r>
      <w:r w:rsidR="00F30C86">
        <w:t xml:space="preserve"> kept up </w:t>
      </w:r>
      <w:r w:rsidR="00FC697F">
        <w:t>with</w:t>
      </w:r>
      <w:r w:rsidR="00F30C86">
        <w:t xml:space="preserve"> the </w:t>
      </w:r>
      <w:r w:rsidR="002F2D23">
        <w:t>seven percent</w:t>
      </w:r>
      <w:r w:rsidR="00F30C86">
        <w:t xml:space="preserve"> </w:t>
      </w:r>
      <w:r w:rsidR="002F2D23">
        <w:t xml:space="preserve">growth </w:t>
      </w:r>
      <w:r w:rsidR="00FC697F">
        <w:t>rate</w:t>
      </w:r>
      <w:r w:rsidR="00F30C86">
        <w:t xml:space="preserve"> </w:t>
      </w:r>
      <w:r w:rsidR="002F2D23">
        <w:t xml:space="preserve">in </w:t>
      </w:r>
      <w:r w:rsidR="00F30C86">
        <w:t>cereals product</w:t>
      </w:r>
      <w:r w:rsidR="002F2D23">
        <w:t>ion</w:t>
      </w:r>
      <w:r w:rsidR="00F30C86">
        <w:t xml:space="preserve">. </w:t>
      </w:r>
      <w:r w:rsidR="00BD1EFC">
        <w:t xml:space="preserve">Real prices have trended neither up nor down. </w:t>
      </w:r>
      <w:r w:rsidR="002F2D23">
        <w:t xml:space="preserve">That has had a tremendous impact on food security. </w:t>
      </w:r>
      <w:r w:rsidR="00BD1EFC">
        <w:t xml:space="preserve">However, that large increase in human consumption of cereals is driven by relatively high income </w:t>
      </w:r>
      <w:proofErr w:type="spellStart"/>
      <w:r w:rsidR="00BD1EFC">
        <w:t>elasticities</w:t>
      </w:r>
      <w:proofErr w:type="spellEnd"/>
      <w:r w:rsidR="00BD1EFC">
        <w:t xml:space="preserve"> (0.72) of demand on the part of the poorer half of the r</w:t>
      </w:r>
      <w:r w:rsidR="003650A4">
        <w:t xml:space="preserve">ural income distribution. As poverty decreases those </w:t>
      </w:r>
      <w:proofErr w:type="spellStart"/>
      <w:r w:rsidR="00BD1EFC">
        <w:lastRenderedPageBreak/>
        <w:t>elasticities</w:t>
      </w:r>
      <w:proofErr w:type="spellEnd"/>
      <w:r w:rsidR="00BD1EFC">
        <w:t xml:space="preserve"> will become more inelastic and the population growth will also decline</w:t>
      </w:r>
      <w:r w:rsidR="009E19E4">
        <w:t xml:space="preserve">. </w:t>
      </w:r>
      <w:r w:rsidR="00F30C86">
        <w:t xml:space="preserve">As the </w:t>
      </w:r>
      <w:r w:rsidR="002F2D23">
        <w:t>demand</w:t>
      </w:r>
      <w:r w:rsidR="00FC697F">
        <w:t xml:space="preserve"> fo</w:t>
      </w:r>
      <w:r w:rsidR="00F30C86">
        <w:t xml:space="preserve">r </w:t>
      </w:r>
      <w:r w:rsidR="00FC697F">
        <w:t>human</w:t>
      </w:r>
      <w:r w:rsidR="00F30C86">
        <w:t xml:space="preserve"> consumption s</w:t>
      </w:r>
      <w:r w:rsidR="002F2D23">
        <w:t>l</w:t>
      </w:r>
      <w:r w:rsidR="00F30C86">
        <w:t xml:space="preserve">ows </w:t>
      </w:r>
      <w:r w:rsidR="00FC697F">
        <w:t>with</w:t>
      </w:r>
      <w:r w:rsidR="00F30C86">
        <w:t xml:space="preserve"> </w:t>
      </w:r>
      <w:r w:rsidR="00FC697F">
        <w:t>decreas</w:t>
      </w:r>
      <w:r w:rsidR="00F30C86">
        <w:t xml:space="preserve">ing </w:t>
      </w:r>
      <w:r w:rsidR="00FC697F">
        <w:t>poverty</w:t>
      </w:r>
      <w:r w:rsidR="00F30C86">
        <w:t xml:space="preserve"> the </w:t>
      </w:r>
      <w:r w:rsidR="00FC697F">
        <w:t xml:space="preserve">scope </w:t>
      </w:r>
      <w:r w:rsidR="00F30C86">
        <w:t>for</w:t>
      </w:r>
      <w:r w:rsidR="00FC697F">
        <w:t xml:space="preserve"> </w:t>
      </w:r>
      <w:r w:rsidR="00AB3982">
        <w:t xml:space="preserve">intensive </w:t>
      </w:r>
      <w:r w:rsidR="00FC697F">
        <w:t xml:space="preserve">livestock </w:t>
      </w:r>
      <w:r w:rsidR="00AB3982">
        <w:t xml:space="preserve">production built on high grain feeding rates </w:t>
      </w:r>
      <w:r w:rsidR="00FC697F">
        <w:t>will gradually</w:t>
      </w:r>
      <w:r w:rsidR="00F30C86">
        <w:t xml:space="preserve"> </w:t>
      </w:r>
      <w:r w:rsidR="00FC697F">
        <w:t>i</w:t>
      </w:r>
      <w:r w:rsidR="00F30C86">
        <w:t>nc</w:t>
      </w:r>
      <w:r w:rsidR="00FC697F">
        <w:t>reas</w:t>
      </w:r>
      <w:r w:rsidR="00F30C86">
        <w:t xml:space="preserve">e. The present </w:t>
      </w:r>
      <w:r w:rsidR="006E0888">
        <w:t xml:space="preserve">livestock </w:t>
      </w:r>
      <w:r w:rsidR="00F30C86">
        <w:t>growth</w:t>
      </w:r>
      <w:r w:rsidR="00FC697F">
        <w:t xml:space="preserve"> rate is only about</w:t>
      </w:r>
      <w:r w:rsidR="00F30C86">
        <w:t xml:space="preserve"> half the rate of </w:t>
      </w:r>
      <w:r w:rsidR="006E0888">
        <w:t>demand growth.</w:t>
      </w:r>
      <w:r w:rsidR="00F30C86">
        <w:t xml:space="preserve"> The PIF noted </w:t>
      </w:r>
      <w:r w:rsidR="00FC697F">
        <w:t>that</w:t>
      </w:r>
      <w:r w:rsidR="00F30C86">
        <w:t xml:space="preserve"> this problem would </w:t>
      </w:r>
      <w:r w:rsidR="00FC697F">
        <w:t>arise</w:t>
      </w:r>
      <w:r w:rsidR="002F2D23">
        <w:t xml:space="preserve"> and</w:t>
      </w:r>
      <w:r w:rsidR="00F30C86">
        <w:t xml:space="preserve"> </w:t>
      </w:r>
      <w:r w:rsidR="00FC697F">
        <w:t>recommended</w:t>
      </w:r>
      <w:r w:rsidR="002F2D23">
        <w:t xml:space="preserve"> creati</w:t>
      </w:r>
      <w:r w:rsidR="00F30C86">
        <w:t xml:space="preserve">on of a new </w:t>
      </w:r>
      <w:r w:rsidR="00FC697F">
        <w:t xml:space="preserve">position of Minister </w:t>
      </w:r>
      <w:r w:rsidR="00F30C86">
        <w:t xml:space="preserve">of </w:t>
      </w:r>
      <w:r w:rsidR="00FC697F">
        <w:t>State</w:t>
      </w:r>
      <w:r w:rsidR="00F30C86">
        <w:t xml:space="preserve"> for </w:t>
      </w:r>
      <w:r w:rsidR="00FC697F">
        <w:t>livestock</w:t>
      </w:r>
      <w:r w:rsidR="002F2D23">
        <w:t xml:space="preserve"> - a</w:t>
      </w:r>
      <w:r w:rsidR="00F30C86">
        <w:t xml:space="preserve"> r</w:t>
      </w:r>
      <w:r w:rsidR="00FC697F">
        <w:t>e</w:t>
      </w:r>
      <w:r w:rsidR="00F30C86">
        <w:t>c</w:t>
      </w:r>
      <w:r w:rsidR="00FC697F">
        <w:t>o</w:t>
      </w:r>
      <w:r w:rsidR="00F30C86">
        <w:t>mmendat</w:t>
      </w:r>
      <w:r w:rsidR="00FC697F">
        <w:t>io</w:t>
      </w:r>
      <w:r w:rsidR="00F30C86">
        <w:t>n that was implemented</w:t>
      </w:r>
      <w:r w:rsidR="002F2D23">
        <w:t>. T</w:t>
      </w:r>
      <w:r w:rsidR="00F30C86">
        <w:t xml:space="preserve">he required </w:t>
      </w:r>
      <w:r w:rsidR="00FC697F">
        <w:t>changes</w:t>
      </w:r>
      <w:r w:rsidR="002F2D23">
        <w:t xml:space="preserve"> are underway. P</w:t>
      </w:r>
      <w:r w:rsidR="00F30C86">
        <w:t xml:space="preserve">ut </w:t>
      </w:r>
      <w:r w:rsidR="002F2D23">
        <w:t>s</w:t>
      </w:r>
      <w:r w:rsidR="00F30C86">
        <w:t xml:space="preserve">imply the </w:t>
      </w:r>
      <w:r w:rsidR="00B76F37">
        <w:t>tim</w:t>
      </w:r>
      <w:r w:rsidR="002F2D23">
        <w:t xml:space="preserve">e is near </w:t>
      </w:r>
      <w:r w:rsidR="00B76F37">
        <w:t>when</w:t>
      </w:r>
      <w:r w:rsidR="00F30C86">
        <w:t xml:space="preserve"> </w:t>
      </w:r>
      <w:r w:rsidR="00B76F37">
        <w:t>the size</w:t>
      </w:r>
      <w:r w:rsidR="00F30C86">
        <w:t xml:space="preserve"> of </w:t>
      </w:r>
      <w:r w:rsidR="002F2D23">
        <w:t>the</w:t>
      </w:r>
      <w:r w:rsidR="00F30C86">
        <w:t xml:space="preserve"> public </w:t>
      </w:r>
      <w:r w:rsidR="00B76F37">
        <w:t>s</w:t>
      </w:r>
      <w:r w:rsidR="002F2D23">
        <w:t>up</w:t>
      </w:r>
      <w:r w:rsidR="00B76F37">
        <w:t>port</w:t>
      </w:r>
      <w:r w:rsidR="00F30C86">
        <w:t xml:space="preserve"> for </w:t>
      </w:r>
      <w:r w:rsidR="00B76F37">
        <w:t xml:space="preserve">the livestock </w:t>
      </w:r>
      <w:r w:rsidR="00F30C86">
        <w:t xml:space="preserve">sector </w:t>
      </w:r>
      <w:r w:rsidR="00B76F37">
        <w:t>w</w:t>
      </w:r>
      <w:r w:rsidR="00F30C86">
        <w:t>ill</w:t>
      </w:r>
      <w:r w:rsidR="00B76F37">
        <w:t xml:space="preserve"> need</w:t>
      </w:r>
      <w:r w:rsidR="00F30C86">
        <w:t xml:space="preserve"> to be a</w:t>
      </w:r>
      <w:r w:rsidR="001B546C">
        <w:t xml:space="preserve">s great </w:t>
      </w:r>
      <w:r w:rsidR="00B76F37">
        <w:t>for</w:t>
      </w:r>
      <w:r w:rsidR="001B546C">
        <w:t xml:space="preserve"> </w:t>
      </w:r>
      <w:r w:rsidR="00B76F37">
        <w:t>the</w:t>
      </w:r>
      <w:r w:rsidR="001B546C">
        <w:t xml:space="preserve"> crop sector. </w:t>
      </w:r>
    </w:p>
    <w:p w:rsidR="00AB3982" w:rsidRDefault="00AB3982" w:rsidP="005B21A4">
      <w:pPr>
        <w:pStyle w:val="ListParagraph"/>
        <w:spacing w:line="480" w:lineRule="auto"/>
      </w:pPr>
    </w:p>
    <w:p w:rsidR="00E56BFE" w:rsidRDefault="003F4996" w:rsidP="005B21A4">
      <w:pPr>
        <w:pStyle w:val="ListParagraph"/>
        <w:numPr>
          <w:ilvl w:val="0"/>
          <w:numId w:val="11"/>
        </w:numPr>
        <w:spacing w:line="480" w:lineRule="auto"/>
      </w:pPr>
      <w:r>
        <w:t xml:space="preserve">Finance. </w:t>
      </w:r>
      <w:r w:rsidR="001B546C">
        <w:t xml:space="preserve">Failure to </w:t>
      </w:r>
      <w:r w:rsidR="00B76F37">
        <w:t xml:space="preserve">understand </w:t>
      </w:r>
      <w:r w:rsidR="001B546C">
        <w:t xml:space="preserve">the dominant </w:t>
      </w:r>
      <w:r w:rsidR="00B76F37">
        <w:t>role</w:t>
      </w:r>
      <w:r w:rsidR="001B546C">
        <w:t xml:space="preserve"> of the small </w:t>
      </w:r>
      <w:r w:rsidR="00B76F37">
        <w:t>commercial</w:t>
      </w:r>
      <w:r w:rsidR="001B546C">
        <w:t xml:space="preserve"> farmer and her financial needs has</w:t>
      </w:r>
      <w:r w:rsidR="00B76F37">
        <w:t xml:space="preserve"> resulted</w:t>
      </w:r>
      <w:r w:rsidR="001B546C">
        <w:t xml:space="preserve"> in </w:t>
      </w:r>
      <w:r w:rsidR="00B76F37">
        <w:t>virtually</w:t>
      </w:r>
      <w:r w:rsidR="001B546C">
        <w:t xml:space="preserve"> </w:t>
      </w:r>
      <w:r w:rsidR="00B76F37">
        <w:t>complete</w:t>
      </w:r>
      <w:r w:rsidR="001B546C">
        <w:t xml:space="preserve"> </w:t>
      </w:r>
      <w:r w:rsidR="00B76F37">
        <w:t>lack</w:t>
      </w:r>
      <w:r w:rsidR="001B546C">
        <w:t xml:space="preserve"> of </w:t>
      </w:r>
      <w:r w:rsidR="00B76F37">
        <w:t>access of</w:t>
      </w:r>
      <w:r w:rsidR="001B546C">
        <w:t xml:space="preserve"> the small commercial farmer to</w:t>
      </w:r>
      <w:r w:rsidR="00B76F37">
        <w:t xml:space="preserve"> </w:t>
      </w:r>
      <w:r w:rsidR="001B546C">
        <w:t>credit</w:t>
      </w:r>
      <w:r w:rsidR="00B76F37">
        <w:t xml:space="preserve"> </w:t>
      </w:r>
      <w:r w:rsidR="001B546C">
        <w:t>to</w:t>
      </w:r>
      <w:r w:rsidR="00B76F37">
        <w:t xml:space="preserve"> </w:t>
      </w:r>
      <w:r w:rsidR="001B546C">
        <w:t>meet</w:t>
      </w:r>
      <w:r w:rsidR="00B76F37">
        <w:t xml:space="preserve"> rapidly</w:t>
      </w:r>
      <w:r w:rsidR="001B546C">
        <w:t xml:space="preserve"> </w:t>
      </w:r>
      <w:r w:rsidR="002F2D23">
        <w:t>increas</w:t>
      </w:r>
      <w:r w:rsidR="00B76F37">
        <w:t>ing</w:t>
      </w:r>
      <w:r w:rsidR="001B546C">
        <w:t xml:space="preserve"> investment </w:t>
      </w:r>
      <w:r w:rsidR="00B76F37">
        <w:t>requirements</w:t>
      </w:r>
      <w:r w:rsidR="001B546C">
        <w:t>. Those</w:t>
      </w:r>
      <w:r w:rsidR="003650A4">
        <w:t xml:space="preserve"> requirements </w:t>
      </w:r>
      <w:r w:rsidR="00274833">
        <w:t xml:space="preserve">are </w:t>
      </w:r>
      <w:r w:rsidR="003650A4">
        <w:t>already</w:t>
      </w:r>
      <w:r w:rsidR="00B76F37">
        <w:t xml:space="preserve"> well beyond </w:t>
      </w:r>
      <w:r w:rsidR="001B546C">
        <w:t xml:space="preserve">financing </w:t>
      </w:r>
      <w:r w:rsidR="00B76F37">
        <w:t>fertilizer</w:t>
      </w:r>
      <w:r w:rsidR="001B546C">
        <w:t xml:space="preserve"> </w:t>
      </w:r>
      <w:r w:rsidR="00B76F37">
        <w:t>and</w:t>
      </w:r>
      <w:r w:rsidR="001B546C">
        <w:t xml:space="preserve"> that dispersion </w:t>
      </w:r>
      <w:r w:rsidR="00B76F37">
        <w:t>will</w:t>
      </w:r>
      <w:r w:rsidR="001B546C">
        <w:t xml:space="preserve"> acc</w:t>
      </w:r>
      <w:r w:rsidR="00B76F37">
        <w:t>e</w:t>
      </w:r>
      <w:r w:rsidR="001B546C">
        <w:t>l</w:t>
      </w:r>
      <w:r w:rsidR="00B76F37">
        <w:t>e</w:t>
      </w:r>
      <w:r w:rsidR="001B546C">
        <w:t>rate</w:t>
      </w:r>
      <w:r w:rsidR="00B76F37">
        <w:t xml:space="preserve"> </w:t>
      </w:r>
      <w:r w:rsidR="001B546C">
        <w:t xml:space="preserve">in the </w:t>
      </w:r>
      <w:r w:rsidR="00B76F37">
        <w:t>next</w:t>
      </w:r>
      <w:r w:rsidR="001B546C">
        <w:t xml:space="preserve"> round of </w:t>
      </w:r>
      <w:r w:rsidR="00B76F37">
        <w:t>growth</w:t>
      </w:r>
      <w:r w:rsidR="006E0888">
        <w:t>.</w:t>
      </w:r>
      <w:r w:rsidR="00024D5F">
        <w:t xml:space="preserve">  All countries </w:t>
      </w:r>
      <w:r w:rsidR="00B76F37">
        <w:t>with</w:t>
      </w:r>
      <w:r w:rsidR="00024D5F">
        <w:t xml:space="preserve"> </w:t>
      </w:r>
      <w:r w:rsidR="00B76F37">
        <w:t>high productivity</w:t>
      </w:r>
      <w:r w:rsidR="00024D5F">
        <w:t xml:space="preserve"> agriculture have a </w:t>
      </w:r>
      <w:r w:rsidR="00B76F37">
        <w:t>specialized agricultural</w:t>
      </w:r>
      <w:r w:rsidR="00024D5F">
        <w:t xml:space="preserve"> </w:t>
      </w:r>
      <w:r w:rsidR="00B76F37">
        <w:t>finance</w:t>
      </w:r>
      <w:r w:rsidR="00024D5F">
        <w:t xml:space="preserve"> system suitable to the bulk of their </w:t>
      </w:r>
      <w:r w:rsidR="00B76F37">
        <w:t>farmers (Desai</w:t>
      </w:r>
      <w:r w:rsidR="00024D5F">
        <w:t xml:space="preserve"> and Mellor</w:t>
      </w:r>
      <w:r w:rsidR="00AB3982">
        <w:t>, 1998</w:t>
      </w:r>
      <w:r w:rsidR="00024D5F">
        <w:t xml:space="preserve">). It is only </w:t>
      </w:r>
      <w:r w:rsidR="006E0888">
        <w:t>i</w:t>
      </w:r>
      <w:r w:rsidR="00024D5F">
        <w:t xml:space="preserve">n </w:t>
      </w:r>
      <w:r w:rsidR="00B76F37">
        <w:t>Africa</w:t>
      </w:r>
      <w:r w:rsidR="00024D5F">
        <w:t xml:space="preserve"> </w:t>
      </w:r>
      <w:r w:rsidR="00B76F37">
        <w:t>that</w:t>
      </w:r>
      <w:r w:rsidR="00024D5F">
        <w:t xml:space="preserve"> the </w:t>
      </w:r>
      <w:r w:rsidR="002F2D23">
        <w:t>lac</w:t>
      </w:r>
      <w:r w:rsidR="00B76F37">
        <w:t>k</w:t>
      </w:r>
      <w:r w:rsidR="00024D5F">
        <w:t xml:space="preserve"> of such </w:t>
      </w:r>
      <w:r w:rsidR="002F2D23">
        <w:t>instituti</w:t>
      </w:r>
      <w:r w:rsidR="00024D5F">
        <w:t>ons is endemic.</w:t>
      </w:r>
      <w:r w:rsidR="006E0888">
        <w:t xml:space="preserve">  </w:t>
      </w:r>
      <w:r w:rsidR="00B76F37">
        <w:t>International</w:t>
      </w:r>
      <w:r w:rsidR="00E56BFE">
        <w:t xml:space="preserve"> </w:t>
      </w:r>
      <w:r w:rsidR="00B76F37">
        <w:t>experience</w:t>
      </w:r>
      <w:r w:rsidR="00E56BFE">
        <w:t xml:space="preserve"> </w:t>
      </w:r>
      <w:r w:rsidR="00B76F37">
        <w:t>is</w:t>
      </w:r>
      <w:r w:rsidR="00E56BFE">
        <w:t xml:space="preserve"> clear </w:t>
      </w:r>
      <w:r w:rsidR="006E0888">
        <w:t>(Desai and Mellor</w:t>
      </w:r>
      <w:r w:rsidR="003650A4">
        <w:t xml:space="preserve"> 1998</w:t>
      </w:r>
      <w:r w:rsidR="006E0888">
        <w:t xml:space="preserve">) </w:t>
      </w:r>
      <w:r w:rsidR="00B76F37">
        <w:t>that</w:t>
      </w:r>
      <w:r w:rsidR="00E56BFE">
        <w:t xml:space="preserve"> </w:t>
      </w:r>
      <w:r w:rsidR="00B76F37">
        <w:t>the</w:t>
      </w:r>
      <w:r w:rsidR="00E56BFE">
        <w:t xml:space="preserve"> two </w:t>
      </w:r>
      <w:r w:rsidR="006E0888">
        <w:t>requirements</w:t>
      </w:r>
      <w:r w:rsidR="00E56BFE">
        <w:t xml:space="preserve"> of a </w:t>
      </w:r>
      <w:r w:rsidR="00B76F37">
        <w:t>finance</w:t>
      </w:r>
      <w:r w:rsidR="00E56BFE">
        <w:t xml:space="preserve"> system for </w:t>
      </w:r>
      <w:r w:rsidR="00B76F37">
        <w:t>the</w:t>
      </w:r>
      <w:r w:rsidR="00E56BFE">
        <w:t xml:space="preserve"> small commercial </w:t>
      </w:r>
      <w:r w:rsidR="00B76F37">
        <w:t>farmer</w:t>
      </w:r>
      <w:r w:rsidR="002F2D23">
        <w:t xml:space="preserve"> are convenience</w:t>
      </w:r>
      <w:r w:rsidR="00E56BFE">
        <w:t xml:space="preserve"> of </w:t>
      </w:r>
      <w:r w:rsidR="00B76F37">
        <w:t>access</w:t>
      </w:r>
      <w:r w:rsidR="002F2D23">
        <w:t>, requi</w:t>
      </w:r>
      <w:r w:rsidR="00E56BFE">
        <w:t>r</w:t>
      </w:r>
      <w:r w:rsidR="002F2D23">
        <w:t>i</w:t>
      </w:r>
      <w:r w:rsidR="00E56BFE">
        <w:t xml:space="preserve">ng </w:t>
      </w:r>
      <w:r w:rsidR="00B76F37">
        <w:t>thousands</w:t>
      </w:r>
      <w:r w:rsidR="00E56BFE">
        <w:t xml:space="preserve"> of branches</w:t>
      </w:r>
      <w:r w:rsidR="006E0888">
        <w:t>,</w:t>
      </w:r>
      <w:r w:rsidR="00E56BFE">
        <w:t xml:space="preserve"> and a loan office</w:t>
      </w:r>
      <w:r w:rsidR="002F2D23">
        <w:t xml:space="preserve">r able to assist in </w:t>
      </w:r>
      <w:r w:rsidR="00B76F37">
        <w:t>making profitable loans for agricultural</w:t>
      </w:r>
      <w:r w:rsidR="00E56BFE">
        <w:t xml:space="preserve"> production</w:t>
      </w:r>
      <w:r w:rsidR="002F2D23">
        <w:t xml:space="preserve"> and following up for on time repayment</w:t>
      </w:r>
      <w:r w:rsidR="00E56BFE">
        <w:t>.</w:t>
      </w:r>
      <w:r w:rsidR="00B76F37">
        <w:t xml:space="preserve"> </w:t>
      </w:r>
      <w:r w:rsidR="0054500F">
        <w:t>In that context, t</w:t>
      </w:r>
      <w:r w:rsidR="00E56BFE">
        <w:t xml:space="preserve">he </w:t>
      </w:r>
      <w:r w:rsidR="00B76F37">
        <w:t xml:space="preserve">institutional </w:t>
      </w:r>
      <w:r w:rsidR="00E56BFE">
        <w:t xml:space="preserve">structure depends </w:t>
      </w:r>
      <w:r w:rsidR="00B76F37">
        <w:t>very</w:t>
      </w:r>
      <w:r w:rsidR="00E56BFE">
        <w:t xml:space="preserve"> </w:t>
      </w:r>
      <w:r w:rsidR="00B76F37">
        <w:t>much</w:t>
      </w:r>
      <w:r w:rsidR="00E56BFE">
        <w:t xml:space="preserve"> on nat</w:t>
      </w:r>
      <w:r w:rsidR="00B76F37">
        <w:t>io</w:t>
      </w:r>
      <w:r w:rsidR="00E56BFE">
        <w:t xml:space="preserve">nal </w:t>
      </w:r>
      <w:r w:rsidR="00B76F37">
        <w:t>culture</w:t>
      </w:r>
      <w:r w:rsidR="00E56BFE">
        <w:t xml:space="preserve"> and</w:t>
      </w:r>
      <w:r w:rsidR="00B76F37">
        <w:t xml:space="preserve"> institutional</w:t>
      </w:r>
      <w:r w:rsidR="00E56BFE">
        <w:t xml:space="preserve"> history.</w:t>
      </w:r>
      <w:r w:rsidR="006E0888">
        <w:t xml:space="preserve"> There are currently</w:t>
      </w:r>
      <w:r w:rsidR="0054500F">
        <w:t xml:space="preserve"> </w:t>
      </w:r>
      <w:r w:rsidR="006E0888">
        <w:t xml:space="preserve">discussions </w:t>
      </w:r>
      <w:r w:rsidR="0054500F">
        <w:t xml:space="preserve">within the government </w:t>
      </w:r>
      <w:r w:rsidR="006E0888">
        <w:t>on how best to meet this need</w:t>
      </w:r>
      <w:r w:rsidR="0054500F">
        <w:t>.</w:t>
      </w:r>
    </w:p>
    <w:p w:rsidR="00E56BFE" w:rsidRDefault="00E56BFE" w:rsidP="005B21A4">
      <w:pPr>
        <w:pStyle w:val="ListParagraph"/>
        <w:spacing w:line="480" w:lineRule="auto"/>
      </w:pPr>
    </w:p>
    <w:p w:rsidR="00E56BFE" w:rsidRDefault="00B76F37" w:rsidP="005B21A4">
      <w:pPr>
        <w:pStyle w:val="ListParagraph"/>
        <w:numPr>
          <w:ilvl w:val="0"/>
          <w:numId w:val="11"/>
        </w:numPr>
        <w:spacing w:line="480" w:lineRule="auto"/>
      </w:pPr>
      <w:r>
        <w:t>Fertilizer</w:t>
      </w:r>
      <w:r w:rsidR="001B546C">
        <w:t>. A</w:t>
      </w:r>
      <w:r>
        <w:t xml:space="preserve"> </w:t>
      </w:r>
      <w:r w:rsidR="001B546C">
        <w:t xml:space="preserve">huge </w:t>
      </w:r>
      <w:r>
        <w:t>advance</w:t>
      </w:r>
      <w:r w:rsidR="001B546C">
        <w:t xml:space="preserve"> is </w:t>
      </w:r>
      <w:r>
        <w:t>being</w:t>
      </w:r>
      <w:r w:rsidR="00AB3982">
        <w:t xml:space="preserve"> made i</w:t>
      </w:r>
      <w:r w:rsidR="001B546C">
        <w:t xml:space="preserve">n tailoring plant </w:t>
      </w:r>
      <w:r>
        <w:t>nutrient</w:t>
      </w:r>
      <w:r w:rsidR="001B546C">
        <w:t xml:space="preserve"> </w:t>
      </w:r>
      <w:r>
        <w:t>provision to a</w:t>
      </w:r>
      <w:r w:rsidR="001B546C">
        <w:t>gro-</w:t>
      </w:r>
      <w:r>
        <w:t>ecological</w:t>
      </w:r>
      <w:r w:rsidR="001B546C">
        <w:t xml:space="preserve"> differences. </w:t>
      </w:r>
      <w:r>
        <w:t>That</w:t>
      </w:r>
      <w:r w:rsidR="001B546C">
        <w:t xml:space="preserve"> is essential and </w:t>
      </w:r>
      <w:r>
        <w:t>admirable</w:t>
      </w:r>
      <w:r w:rsidR="001B546C">
        <w:t>. However</w:t>
      </w:r>
      <w:r>
        <w:t>, the</w:t>
      </w:r>
      <w:r w:rsidR="001B546C">
        <w:t xml:space="preserve"> lack </w:t>
      </w:r>
      <w:r>
        <w:t>of</w:t>
      </w:r>
      <w:r w:rsidR="001B546C">
        <w:t xml:space="preserve"> competition to the </w:t>
      </w:r>
      <w:r>
        <w:lastRenderedPageBreak/>
        <w:t>cooperatives</w:t>
      </w:r>
      <w:r w:rsidR="001B546C">
        <w:t xml:space="preserve"> is not </w:t>
      </w:r>
      <w:r>
        <w:t>only detrimenta</w:t>
      </w:r>
      <w:r w:rsidR="001B546C">
        <w:t>l t</w:t>
      </w:r>
      <w:r>
        <w:t>o</w:t>
      </w:r>
      <w:r w:rsidR="001B546C">
        <w:t xml:space="preserve"> </w:t>
      </w:r>
      <w:r>
        <w:t>cooperative</w:t>
      </w:r>
      <w:r w:rsidR="001B546C">
        <w:t xml:space="preserve"> </w:t>
      </w:r>
      <w:r>
        <w:t>development</w:t>
      </w:r>
      <w:r w:rsidR="001B546C">
        <w:t xml:space="preserve">, as </w:t>
      </w:r>
      <w:r>
        <w:t>discussed</w:t>
      </w:r>
      <w:r w:rsidR="001B546C">
        <w:t xml:space="preserve"> below, but </w:t>
      </w:r>
      <w:r>
        <w:t>constrains</w:t>
      </w:r>
      <w:r w:rsidR="001B546C">
        <w:t xml:space="preserve"> the current </w:t>
      </w:r>
      <w:r>
        <w:t>level</w:t>
      </w:r>
      <w:r w:rsidR="001B546C">
        <w:t xml:space="preserve"> of fertilizer </w:t>
      </w:r>
      <w:r>
        <w:t>use</w:t>
      </w:r>
      <w:r w:rsidR="001B546C">
        <w:t xml:space="preserve"> </w:t>
      </w:r>
      <w:r>
        <w:t>and</w:t>
      </w:r>
      <w:r w:rsidR="001B546C">
        <w:t xml:space="preserve"> restricts growth to a much smaller base than</w:t>
      </w:r>
      <w:r>
        <w:t xml:space="preserve"> i</w:t>
      </w:r>
      <w:r w:rsidR="001B546C">
        <w:t>s</w:t>
      </w:r>
      <w:r>
        <w:t xml:space="preserve"> necessary</w:t>
      </w:r>
      <w:r w:rsidR="001B546C">
        <w:t>.</w:t>
      </w:r>
      <w:r w:rsidR="00E56BFE">
        <w:t xml:space="preserve">  </w:t>
      </w:r>
      <w:r w:rsidR="003650A4">
        <w:t xml:space="preserve">The private traders are now banned from fertilizer distribution, leaving a cooperative monopoly. </w:t>
      </w:r>
      <w:r w:rsidR="00E56BFE">
        <w:t>The su</w:t>
      </w:r>
      <w:r w:rsidR="00B85895">
        <w:t>ccess on fertilizer was</w:t>
      </w:r>
      <w:r w:rsidR="00E56BFE">
        <w:t xml:space="preserve"> due to putting the more effective cooperatives in overall charge, pushing large inventories </w:t>
      </w:r>
      <w:r w:rsidR="002F2D23">
        <w:t>o</w:t>
      </w:r>
      <w:r w:rsidR="00E56BFE">
        <w:t xml:space="preserve">n the cooperatives with a consequent pressure to move fertilizer, and a massive extension effort. For the future, growth will have to move much closer to the optimal and hence lower margins. Maintaining </w:t>
      </w:r>
      <w:r w:rsidR="00B85895">
        <w:t xml:space="preserve">the </w:t>
      </w:r>
      <w:r w:rsidR="00E56BFE">
        <w:t>current rate of growth in fertilizer use will require greater efficiency as farmers move further out the response curve.  There needs to be competition to ensure diagnosis of the cooperatives that are under performing and pressure to increase efficiency. Cooperatives define non overlapping geographic areas and hence do not compete with each other. In 1996 the government barred the private trade from fertilizer</w:t>
      </w:r>
      <w:r w:rsidR="00AB3982">
        <w:t xml:space="preserve"> distribution</w:t>
      </w:r>
      <w:r w:rsidR="00E56BFE">
        <w:t>, presumably to foster the cooperatives growth. The grain traders want to return to fertilizer distribution because it complements the grain trade – different season</w:t>
      </w:r>
      <w:r w:rsidR="003650A4">
        <w:t xml:space="preserve"> </w:t>
      </w:r>
      <w:r w:rsidR="00E56BFE">
        <w:t xml:space="preserve">of use of warehouse space, working capital, and management. While IFPRI studies show the operating margins of the cooperatives to be too low, the private traders in focus group studies are happy with </w:t>
      </w:r>
      <w:r w:rsidR="006E0888">
        <w:t>those</w:t>
      </w:r>
      <w:r w:rsidR="00E56BFE">
        <w:t xml:space="preserve"> margins – </w:t>
      </w:r>
      <w:r w:rsidR="00077563">
        <w:t>underlin</w:t>
      </w:r>
      <w:r w:rsidR="00E56BFE">
        <w:t>ing the complementarity. Opening to the private trade will bring competition, clarity as to where the deficiencies</w:t>
      </w:r>
      <w:r w:rsidR="006E0888">
        <w:t xml:space="preserve"> of the cooperative lie</w:t>
      </w:r>
      <w:r w:rsidR="00E56BFE">
        <w:t>, and service to now under</w:t>
      </w:r>
      <w:r w:rsidR="00077563">
        <w:t xml:space="preserve"> </w:t>
      </w:r>
      <w:r w:rsidR="00E56BFE">
        <w:t>serviced areas.</w:t>
      </w:r>
      <w:r w:rsidR="00B85895">
        <w:t xml:space="preserve"> It is now time for that to happen.</w:t>
      </w:r>
    </w:p>
    <w:p w:rsidR="00077563" w:rsidRDefault="00077563" w:rsidP="005B21A4">
      <w:pPr>
        <w:pStyle w:val="ListParagraph"/>
        <w:spacing w:line="480" w:lineRule="auto"/>
      </w:pPr>
    </w:p>
    <w:p w:rsidR="00E56BFE" w:rsidRDefault="001B546C" w:rsidP="005B21A4">
      <w:pPr>
        <w:pStyle w:val="ListParagraph"/>
        <w:numPr>
          <w:ilvl w:val="0"/>
          <w:numId w:val="11"/>
        </w:numPr>
        <w:spacing w:line="480" w:lineRule="auto"/>
      </w:pPr>
      <w:r>
        <w:t xml:space="preserve">Primary </w:t>
      </w:r>
      <w:r w:rsidR="00B76F37">
        <w:t>Cooperatives</w:t>
      </w:r>
      <w:r>
        <w:t xml:space="preserve">. </w:t>
      </w:r>
      <w:r w:rsidR="00B76F37">
        <w:t>Ethiopia</w:t>
      </w:r>
      <w:r>
        <w:t xml:space="preserve"> is </w:t>
      </w:r>
      <w:r w:rsidR="00B76F37">
        <w:t>committed</w:t>
      </w:r>
      <w:r>
        <w:t xml:space="preserve"> to the multi-purpose cooperatives </w:t>
      </w:r>
      <w:r w:rsidR="00B76F37">
        <w:t>being</w:t>
      </w:r>
      <w:r>
        <w:t xml:space="preserve"> the core of servicing the farmer. </w:t>
      </w:r>
      <w:r w:rsidR="00E56BFE">
        <w:t>They occupy such a role in a large number of high and middle income countries</w:t>
      </w:r>
      <w:r w:rsidR="00077563">
        <w:t xml:space="preserve">. </w:t>
      </w:r>
      <w:r w:rsidR="00E56BFE">
        <w:t xml:space="preserve"> </w:t>
      </w:r>
      <w:r w:rsidR="00077563">
        <w:t>T</w:t>
      </w:r>
      <w:r w:rsidR="00B76F37">
        <w:t>he</w:t>
      </w:r>
      <w:r>
        <w:t xml:space="preserve"> </w:t>
      </w:r>
      <w:r w:rsidR="00B76F37">
        <w:t xml:space="preserve">advantage </w:t>
      </w:r>
      <w:r>
        <w:t xml:space="preserve">of </w:t>
      </w:r>
      <w:r w:rsidR="00B76F37">
        <w:t xml:space="preserve">cooperatives </w:t>
      </w:r>
      <w:r>
        <w:t xml:space="preserve">over private traders is a loyal </w:t>
      </w:r>
      <w:r w:rsidR="00B76F37">
        <w:t>membership</w:t>
      </w:r>
      <w:r w:rsidR="00B85895">
        <w:t>. F</w:t>
      </w:r>
      <w:r w:rsidR="00B76F37">
        <w:t>armers</w:t>
      </w:r>
      <w:r>
        <w:t xml:space="preserve">, </w:t>
      </w:r>
      <w:r w:rsidR="00077563">
        <w:t>i</w:t>
      </w:r>
      <w:r>
        <w:t xml:space="preserve">n focus </w:t>
      </w:r>
      <w:r w:rsidR="00B76F37">
        <w:t>groups</w:t>
      </w:r>
      <w:r>
        <w:t xml:space="preserve">, are consistently clear </w:t>
      </w:r>
      <w:r w:rsidR="00B76F37">
        <w:t>that</w:t>
      </w:r>
      <w:r w:rsidR="00077563">
        <w:t xml:space="preserve"> they prefer cooperat</w:t>
      </w:r>
      <w:r>
        <w:t>i</w:t>
      </w:r>
      <w:r w:rsidR="00077563">
        <w:t>v</w:t>
      </w:r>
      <w:r>
        <w:t xml:space="preserve">es to private </w:t>
      </w:r>
      <w:r w:rsidR="00077563">
        <w:t>tr</w:t>
      </w:r>
      <w:r w:rsidR="00B76F37">
        <w:t>a</w:t>
      </w:r>
      <w:r w:rsidR="00077563">
        <w:t>der</w:t>
      </w:r>
      <w:r w:rsidR="00B76F37">
        <w:t>s</w:t>
      </w:r>
      <w:r>
        <w:t xml:space="preserve">. </w:t>
      </w:r>
      <w:r w:rsidR="00B85895">
        <w:t>Unfortunately, the</w:t>
      </w:r>
      <w:r>
        <w:t xml:space="preserve"> reality is that the </w:t>
      </w:r>
      <w:r w:rsidR="00B76F37">
        <w:t>primary</w:t>
      </w:r>
      <w:r>
        <w:t xml:space="preserve"> </w:t>
      </w:r>
      <w:r w:rsidR="00B85895">
        <w:t>c</w:t>
      </w:r>
      <w:r w:rsidR="00B76F37">
        <w:t>ooperatives</w:t>
      </w:r>
      <w:r>
        <w:t xml:space="preserve">, to </w:t>
      </w:r>
      <w:r w:rsidR="00B76F37">
        <w:t>which farmers are memb</w:t>
      </w:r>
      <w:r>
        <w:t xml:space="preserve">ers and </w:t>
      </w:r>
      <w:r>
        <w:lastRenderedPageBreak/>
        <w:t xml:space="preserve">see as </w:t>
      </w:r>
      <w:r w:rsidR="00B85895">
        <w:t>the</w:t>
      </w:r>
      <w:r>
        <w:t xml:space="preserve"> </w:t>
      </w:r>
      <w:r w:rsidR="00B76F37">
        <w:t>object</w:t>
      </w:r>
      <w:r>
        <w:t xml:space="preserve"> of their </w:t>
      </w:r>
      <w:r w:rsidR="00B76F37">
        <w:t>loyalty</w:t>
      </w:r>
      <w:r w:rsidR="00077563">
        <w:t>,</w:t>
      </w:r>
      <w:r>
        <w:t xml:space="preserve"> rarely have a paid manager and as a </w:t>
      </w:r>
      <w:r w:rsidR="00B76F37">
        <w:t>result</w:t>
      </w:r>
      <w:r>
        <w:t xml:space="preserve"> offer poor </w:t>
      </w:r>
      <w:r w:rsidR="00B76F37">
        <w:t>services</w:t>
      </w:r>
      <w:r>
        <w:t>.</w:t>
      </w:r>
      <w:r w:rsidR="00421109">
        <w:t xml:space="preserve"> The ba</w:t>
      </w:r>
      <w:r w:rsidR="00B76F37">
        <w:t>sic</w:t>
      </w:r>
      <w:r w:rsidR="00421109">
        <w:t xml:space="preserve"> </w:t>
      </w:r>
      <w:r w:rsidR="00B76F37">
        <w:t>problem</w:t>
      </w:r>
      <w:r w:rsidR="00421109">
        <w:t xml:space="preserve"> is that the primary </w:t>
      </w:r>
      <w:r w:rsidR="00B76F37">
        <w:t>cooperatives</w:t>
      </w:r>
      <w:r w:rsidR="00421109">
        <w:t xml:space="preserve"> </w:t>
      </w:r>
      <w:r w:rsidR="00B76F37">
        <w:t>are, correctly</w:t>
      </w:r>
      <w:r w:rsidR="00421109">
        <w:t xml:space="preserve"> from an ease of access point of view, targeted at the </w:t>
      </w:r>
      <w:proofErr w:type="spellStart"/>
      <w:r w:rsidR="00421109">
        <w:t>Kebel</w:t>
      </w:r>
      <w:r w:rsidR="00B76F37">
        <w:t>a</w:t>
      </w:r>
      <w:proofErr w:type="spellEnd"/>
      <w:r w:rsidR="00421109">
        <w:t xml:space="preserve"> level. They </w:t>
      </w:r>
      <w:r w:rsidR="00B76F37">
        <w:t>are</w:t>
      </w:r>
      <w:r w:rsidR="00421109">
        <w:t xml:space="preserve"> </w:t>
      </w:r>
      <w:r w:rsidR="00B76F37">
        <w:t>in</w:t>
      </w:r>
      <w:r w:rsidR="00421109">
        <w:t xml:space="preserve"> fact </w:t>
      </w:r>
      <w:r w:rsidR="00B76F37">
        <w:t>not</w:t>
      </w:r>
      <w:r w:rsidR="00421109">
        <w:t xml:space="preserve"> multi-</w:t>
      </w:r>
      <w:r w:rsidR="00B76F37">
        <w:t>purpose</w:t>
      </w:r>
      <w:r w:rsidR="00077563">
        <w:t xml:space="preserve"> </w:t>
      </w:r>
      <w:r w:rsidR="006E0888">
        <w:t>cooperatives</w:t>
      </w:r>
      <w:r w:rsidR="00421109">
        <w:t xml:space="preserve"> but are </w:t>
      </w:r>
      <w:r w:rsidR="00B76F37">
        <w:t>solely</w:t>
      </w:r>
      <w:r w:rsidR="00421109">
        <w:t xml:space="preserve"> </w:t>
      </w:r>
      <w:r w:rsidR="00B76F37">
        <w:t>distributors</w:t>
      </w:r>
      <w:r w:rsidR="00421109">
        <w:t xml:space="preserve"> of fertilizer. The size of </w:t>
      </w:r>
      <w:r w:rsidR="00B76F37">
        <w:t>business</w:t>
      </w:r>
      <w:r w:rsidR="00421109">
        <w:t xml:space="preserve"> </w:t>
      </w:r>
      <w:r w:rsidR="00077563">
        <w:t>i</w:t>
      </w:r>
      <w:r w:rsidR="00421109">
        <w:t xml:space="preserve">s </w:t>
      </w:r>
      <w:r w:rsidR="00B76F37">
        <w:t>insufficient</w:t>
      </w:r>
      <w:r w:rsidR="00421109">
        <w:t xml:space="preserve"> t</w:t>
      </w:r>
      <w:r w:rsidR="00077563">
        <w:t>o</w:t>
      </w:r>
      <w:r w:rsidR="00421109">
        <w:t xml:space="preserve"> cover a paid manager. The </w:t>
      </w:r>
      <w:r w:rsidR="00B76F37">
        <w:t>question</w:t>
      </w:r>
      <w:r w:rsidR="00421109">
        <w:t xml:space="preserve"> then </w:t>
      </w:r>
      <w:r w:rsidR="00077563">
        <w:t xml:space="preserve">is how to </w:t>
      </w:r>
      <w:r w:rsidR="006E0888">
        <w:t>increase</w:t>
      </w:r>
      <w:r w:rsidR="00421109">
        <w:t xml:space="preserve"> </w:t>
      </w:r>
      <w:r w:rsidR="00B76F37">
        <w:t>the</w:t>
      </w:r>
      <w:r w:rsidR="00421109">
        <w:t xml:space="preserve"> </w:t>
      </w:r>
      <w:r w:rsidR="00077563">
        <w:t>scal</w:t>
      </w:r>
      <w:r w:rsidR="00B76F37">
        <w:t>e</w:t>
      </w:r>
      <w:r w:rsidR="00421109">
        <w:t xml:space="preserve"> </w:t>
      </w:r>
      <w:r w:rsidR="006E0888">
        <w:t xml:space="preserve">sufficiently. </w:t>
      </w:r>
      <w:r w:rsidR="00421109">
        <w:t>The</w:t>
      </w:r>
      <w:r w:rsidR="00B76F37">
        <w:t xml:space="preserve"> pri</w:t>
      </w:r>
      <w:r w:rsidR="00421109">
        <w:t>n</w:t>
      </w:r>
      <w:r w:rsidR="00B76F37">
        <w:t>c</w:t>
      </w:r>
      <w:r w:rsidR="00421109">
        <w:t xml:space="preserve">iple argument </w:t>
      </w:r>
      <w:r w:rsidR="00B76F37">
        <w:t>a</w:t>
      </w:r>
      <w:r w:rsidR="00421109">
        <w:t>g</w:t>
      </w:r>
      <w:r w:rsidR="00B76F37">
        <w:t>ain</w:t>
      </w:r>
      <w:r w:rsidR="00421109">
        <w:t xml:space="preserve">st such </w:t>
      </w:r>
      <w:r w:rsidR="00B76F37">
        <w:t xml:space="preserve">expansion </w:t>
      </w:r>
      <w:r w:rsidR="00421109">
        <w:t xml:space="preserve">of </w:t>
      </w:r>
      <w:r w:rsidR="00B76F37">
        <w:t>scale</w:t>
      </w:r>
      <w:r w:rsidR="00421109">
        <w:t xml:space="preserve"> is </w:t>
      </w:r>
      <w:r w:rsidR="00B76F37">
        <w:t>that</w:t>
      </w:r>
      <w:r w:rsidR="00421109">
        <w:t xml:space="preserve"> the </w:t>
      </w:r>
      <w:r w:rsidR="00B76F37">
        <w:t>cooperatives</w:t>
      </w:r>
      <w:r w:rsidR="00421109">
        <w:t xml:space="preserve"> cannot even man</w:t>
      </w:r>
      <w:r w:rsidR="006E0888">
        <w:t>a</w:t>
      </w:r>
      <w:r w:rsidR="00421109">
        <w:t xml:space="preserve">ge </w:t>
      </w:r>
      <w:r w:rsidR="00077563">
        <w:t>w</w:t>
      </w:r>
      <w:r w:rsidR="00421109">
        <w:t xml:space="preserve">hat they have and should not be complicated </w:t>
      </w:r>
      <w:r w:rsidR="00B76F37">
        <w:t>by</w:t>
      </w:r>
      <w:r w:rsidR="00421109">
        <w:t xml:space="preserve"> adding activities. </w:t>
      </w:r>
      <w:r w:rsidR="00024D5F">
        <w:t xml:space="preserve">The obvious </w:t>
      </w:r>
      <w:r w:rsidR="00B76F37">
        <w:t>solutions</w:t>
      </w:r>
      <w:r w:rsidR="00024D5F">
        <w:t xml:space="preserve"> </w:t>
      </w:r>
      <w:r w:rsidR="00B76F37">
        <w:t>with</w:t>
      </w:r>
      <w:r w:rsidR="00024D5F">
        <w:t xml:space="preserve"> the say ten</w:t>
      </w:r>
      <w:r w:rsidR="00B76F37">
        <w:t xml:space="preserve"> percent of</w:t>
      </w:r>
      <w:r w:rsidR="00024D5F">
        <w:t xml:space="preserve"> the </w:t>
      </w:r>
      <w:r w:rsidR="00B76F37">
        <w:t>cooperatives operating</w:t>
      </w:r>
      <w:r w:rsidR="00024D5F">
        <w:t xml:space="preserve"> well</w:t>
      </w:r>
      <w:r w:rsidR="006E0888">
        <w:t xml:space="preserve"> </w:t>
      </w:r>
      <w:r w:rsidR="00AB3982">
        <w:t>(unpublished Agricultural Transformation Agency study</w:t>
      </w:r>
      <w:r w:rsidR="00077563">
        <w:t>)</w:t>
      </w:r>
      <w:r w:rsidR="00024D5F">
        <w:t xml:space="preserve"> </w:t>
      </w:r>
      <w:r w:rsidR="00B85895">
        <w:t xml:space="preserve">is </w:t>
      </w:r>
      <w:r w:rsidR="00024D5F">
        <w:t xml:space="preserve">to add some </w:t>
      </w:r>
      <w:r w:rsidR="006E0888">
        <w:t>activities</w:t>
      </w:r>
      <w:r w:rsidR="00B76F37">
        <w:t xml:space="preserve"> to get</w:t>
      </w:r>
      <w:r w:rsidR="00024D5F">
        <w:t xml:space="preserve"> </w:t>
      </w:r>
      <w:r w:rsidR="00B76F37">
        <w:t>s</w:t>
      </w:r>
      <w:r w:rsidR="00024D5F">
        <w:t xml:space="preserve">cale, hire a paid </w:t>
      </w:r>
      <w:r w:rsidR="00B76F37">
        <w:t>manager</w:t>
      </w:r>
      <w:r w:rsidR="00024D5F">
        <w:t>, build the loyal</w:t>
      </w:r>
      <w:r w:rsidR="00B76F37">
        <w:t xml:space="preserve"> membership</w:t>
      </w:r>
      <w:r w:rsidR="00024D5F">
        <w:t xml:space="preserve"> and then </w:t>
      </w:r>
      <w:r w:rsidR="00B76F37">
        <w:t>expand</w:t>
      </w:r>
      <w:r w:rsidR="00024D5F">
        <w:t xml:space="preserve"> </w:t>
      </w:r>
      <w:r w:rsidR="00B76F37">
        <w:t>from</w:t>
      </w:r>
      <w:r w:rsidR="00024D5F">
        <w:t xml:space="preserve"> </w:t>
      </w:r>
      <w:r w:rsidR="00B76F37">
        <w:t>there</w:t>
      </w:r>
      <w:r w:rsidR="00024D5F">
        <w:t>.</w:t>
      </w:r>
      <w:r w:rsidR="00077563">
        <w:t xml:space="preserve">  </w:t>
      </w:r>
    </w:p>
    <w:p w:rsidR="00AB3982" w:rsidRDefault="00AB3982" w:rsidP="005B21A4">
      <w:pPr>
        <w:pStyle w:val="ListParagraph"/>
        <w:spacing w:line="480" w:lineRule="auto"/>
      </w:pPr>
    </w:p>
    <w:p w:rsidR="00421109" w:rsidRDefault="00B76F37" w:rsidP="005B21A4">
      <w:pPr>
        <w:pStyle w:val="ListParagraph"/>
        <w:numPr>
          <w:ilvl w:val="0"/>
          <w:numId w:val="11"/>
        </w:numPr>
        <w:spacing w:line="480" w:lineRule="auto"/>
      </w:pPr>
      <w:r>
        <w:t>Irrigation</w:t>
      </w:r>
      <w:r w:rsidR="00024D5F">
        <w:t xml:space="preserve">. The PIF </w:t>
      </w:r>
      <w:r>
        <w:t>allocated</w:t>
      </w:r>
      <w:r w:rsidR="00024D5F">
        <w:t xml:space="preserve"> </w:t>
      </w:r>
      <w:r>
        <w:t>over half</w:t>
      </w:r>
      <w:r w:rsidR="00024D5F">
        <w:t xml:space="preserve"> of </w:t>
      </w:r>
      <w:r>
        <w:t>the</w:t>
      </w:r>
      <w:r w:rsidR="00024D5F">
        <w:t xml:space="preserve"> investment </w:t>
      </w:r>
      <w:r>
        <w:t>in</w:t>
      </w:r>
      <w:r w:rsidR="00024D5F">
        <w:t xml:space="preserve"> the Plan t</w:t>
      </w:r>
      <w:r w:rsidR="006E0888">
        <w:t>o</w:t>
      </w:r>
      <w:r w:rsidR="00024D5F">
        <w:t xml:space="preserve"> </w:t>
      </w:r>
      <w:r>
        <w:t>irrigation</w:t>
      </w:r>
      <w:r w:rsidR="00024D5F">
        <w:t xml:space="preserve">. </w:t>
      </w:r>
      <w:r w:rsidR="006E0888">
        <w:t>Ther</w:t>
      </w:r>
      <w:r w:rsidR="00B85895">
        <w:t xml:space="preserve">e is substantial rainfall that </w:t>
      </w:r>
      <w:r w:rsidR="006E0888">
        <w:t xml:space="preserve">is seasonal, charging water tables and rivers. </w:t>
      </w:r>
      <w:r w:rsidR="00AB3982">
        <w:t xml:space="preserve">Irrigation ensures against poor rains and allows a second crop. </w:t>
      </w:r>
      <w:r>
        <w:t>But</w:t>
      </w:r>
      <w:r w:rsidR="00024D5F">
        <w:t xml:space="preserve"> to be effective </w:t>
      </w:r>
      <w:r w:rsidR="00AB3982">
        <w:t xml:space="preserve">it </w:t>
      </w:r>
      <w:r w:rsidR="00024D5F">
        <w:t xml:space="preserve">requires a much </w:t>
      </w:r>
      <w:r>
        <w:t>larger</w:t>
      </w:r>
      <w:r w:rsidR="00024D5F">
        <w:t xml:space="preserve"> irrigation</w:t>
      </w:r>
      <w:r>
        <w:t xml:space="preserve"> institutional</w:t>
      </w:r>
      <w:r w:rsidR="00024D5F">
        <w:t xml:space="preserve"> structure than </w:t>
      </w:r>
      <w:r w:rsidR="006E0888">
        <w:t>now</w:t>
      </w:r>
      <w:r w:rsidR="00024D5F">
        <w:t xml:space="preserve"> exists. The time is </w:t>
      </w:r>
      <w:r>
        <w:t>coming</w:t>
      </w:r>
      <w:r w:rsidR="006E0888">
        <w:t xml:space="preserve"> when the decline </w:t>
      </w:r>
      <w:r w:rsidR="00024D5F">
        <w:t xml:space="preserve">in area </w:t>
      </w:r>
      <w:r>
        <w:t>expansion</w:t>
      </w:r>
      <w:r w:rsidR="00024D5F">
        <w:t xml:space="preserve"> of the</w:t>
      </w:r>
      <w:r>
        <w:t xml:space="preserve"> past</w:t>
      </w:r>
      <w:r w:rsidR="00024D5F">
        <w:t xml:space="preserve"> </w:t>
      </w:r>
      <w:r>
        <w:t>has</w:t>
      </w:r>
      <w:r w:rsidR="00024D5F">
        <w:t xml:space="preserve"> to be c</w:t>
      </w:r>
      <w:r>
        <w:t>om</w:t>
      </w:r>
      <w:r w:rsidR="00024D5F">
        <w:t xml:space="preserve">pensated </w:t>
      </w:r>
      <w:r>
        <w:t>by</w:t>
      </w:r>
      <w:r w:rsidR="00024D5F">
        <w:t xml:space="preserve"> </w:t>
      </w:r>
      <w:r>
        <w:t>increased</w:t>
      </w:r>
      <w:r w:rsidR="00024D5F">
        <w:t xml:space="preserve"> irrigated area, </w:t>
      </w:r>
      <w:r>
        <w:t>with</w:t>
      </w:r>
      <w:r w:rsidR="00024D5F">
        <w:t xml:space="preserve"> </w:t>
      </w:r>
      <w:r>
        <w:t>emphasis</w:t>
      </w:r>
      <w:r w:rsidR="00024D5F">
        <w:t xml:space="preserve"> on a second crop. But the institutional structure </w:t>
      </w:r>
      <w:r w:rsidR="006E0888">
        <w:t>i</w:t>
      </w:r>
      <w:r w:rsidR="00024D5F">
        <w:t xml:space="preserve">n </w:t>
      </w:r>
      <w:r>
        <w:t>high</w:t>
      </w:r>
      <w:r w:rsidR="00024D5F">
        <w:t xml:space="preserve"> </w:t>
      </w:r>
      <w:r>
        <w:t>productivity</w:t>
      </w:r>
      <w:r w:rsidR="00024D5F">
        <w:t xml:space="preserve"> </w:t>
      </w:r>
      <w:r>
        <w:t>agriculture</w:t>
      </w:r>
      <w:r w:rsidR="00024D5F">
        <w:t xml:space="preserve"> is far more </w:t>
      </w:r>
      <w:r>
        <w:t>complex</w:t>
      </w:r>
      <w:r w:rsidR="00024D5F">
        <w:t xml:space="preserve"> and larger than now e</w:t>
      </w:r>
      <w:r>
        <w:t>x</w:t>
      </w:r>
      <w:r w:rsidR="00024D5F">
        <w:t>ist</w:t>
      </w:r>
      <w:r>
        <w:t>s</w:t>
      </w:r>
      <w:r w:rsidR="00024D5F">
        <w:t xml:space="preserve"> </w:t>
      </w:r>
      <w:r>
        <w:t>i</w:t>
      </w:r>
      <w:r w:rsidR="00024D5F">
        <w:t xml:space="preserve">n </w:t>
      </w:r>
      <w:r>
        <w:t>Ethiopia</w:t>
      </w:r>
      <w:r w:rsidR="00024D5F">
        <w:t>. A major effort</w:t>
      </w:r>
      <w:r w:rsidR="00AB3982">
        <w:t xml:space="preserve"> is</w:t>
      </w:r>
      <w:r w:rsidR="00024D5F">
        <w:t xml:space="preserve"> </w:t>
      </w:r>
      <w:r>
        <w:t>required</w:t>
      </w:r>
      <w:r w:rsidR="00024D5F">
        <w:t>.</w:t>
      </w:r>
    </w:p>
    <w:p w:rsidR="00024D5F" w:rsidRDefault="00024D5F" w:rsidP="005B21A4">
      <w:pPr>
        <w:pStyle w:val="ListParagraph"/>
        <w:spacing w:line="480" w:lineRule="auto"/>
      </w:pPr>
    </w:p>
    <w:p w:rsidR="00BD7A4B" w:rsidRPr="000066E8" w:rsidRDefault="00024D5F" w:rsidP="005B21A4">
      <w:pPr>
        <w:pStyle w:val="ListParagraph"/>
        <w:numPr>
          <w:ilvl w:val="0"/>
          <w:numId w:val="11"/>
        </w:numPr>
        <w:spacing w:line="480" w:lineRule="auto"/>
      </w:pPr>
      <w:r>
        <w:t xml:space="preserve">Coffee. </w:t>
      </w:r>
      <w:r w:rsidR="00B76F37">
        <w:t>Ethiopia</w:t>
      </w:r>
      <w:r>
        <w:t xml:space="preserve"> </w:t>
      </w:r>
      <w:r w:rsidR="00B85895">
        <w:t>sta</w:t>
      </w:r>
      <w:r w:rsidR="00B76F37">
        <w:t>nds</w:t>
      </w:r>
      <w:r>
        <w:t xml:space="preserve"> </w:t>
      </w:r>
      <w:r w:rsidR="009F7358">
        <w:t>out</w:t>
      </w:r>
      <w:r w:rsidR="00AB3982">
        <w:t xml:space="preserve"> in l</w:t>
      </w:r>
      <w:r w:rsidR="009F7358">
        <w:t>acking</w:t>
      </w:r>
      <w:r>
        <w:t xml:space="preserve"> an </w:t>
      </w:r>
      <w:r w:rsidR="009F7358">
        <w:t>institutional</w:t>
      </w:r>
      <w:r>
        <w:t xml:space="preserve"> </w:t>
      </w:r>
      <w:r w:rsidR="009F7358">
        <w:t>super</w:t>
      </w:r>
      <w:r>
        <w:t xml:space="preserve"> </w:t>
      </w:r>
      <w:r w:rsidR="009F7358">
        <w:t>structure</w:t>
      </w:r>
      <w:r>
        <w:t xml:space="preserve"> to manage the </w:t>
      </w:r>
      <w:r w:rsidR="009F7358">
        <w:t>coffee</w:t>
      </w:r>
      <w:r>
        <w:t xml:space="preserve"> sector. </w:t>
      </w:r>
      <w:r w:rsidR="00B85895">
        <w:t>Being i</w:t>
      </w:r>
      <w:r w:rsidR="009F7358">
        <w:t xml:space="preserve">n </w:t>
      </w:r>
      <w:r w:rsidR="00B85895">
        <w:t xml:space="preserve">an </w:t>
      </w:r>
      <w:r w:rsidR="009F7358">
        <w:t>international</w:t>
      </w:r>
      <w:r>
        <w:t xml:space="preserve"> market</w:t>
      </w:r>
      <w:r w:rsidR="009F7358">
        <w:t xml:space="preserve"> requires</w:t>
      </w:r>
      <w:r>
        <w:t xml:space="preserve"> </w:t>
      </w:r>
      <w:r w:rsidR="009F7358">
        <w:t>that</w:t>
      </w:r>
      <w:r>
        <w:t xml:space="preserve"> </w:t>
      </w:r>
      <w:r w:rsidR="009F7358">
        <w:t>rapid</w:t>
      </w:r>
      <w:r>
        <w:t xml:space="preserve"> advances be made in </w:t>
      </w:r>
      <w:r w:rsidR="009F7358">
        <w:t>productivity including disproportionately</w:t>
      </w:r>
      <w:r>
        <w:t xml:space="preserve"> large </w:t>
      </w:r>
      <w:r w:rsidR="009F7358">
        <w:t>expenditure</w:t>
      </w:r>
      <w:r>
        <w:t xml:space="preserve"> on a fully</w:t>
      </w:r>
      <w:r w:rsidR="009F7358">
        <w:t xml:space="preserve"> integrated</w:t>
      </w:r>
      <w:r>
        <w:t xml:space="preserve"> research/</w:t>
      </w:r>
      <w:r w:rsidR="009F7358">
        <w:t>extension</w:t>
      </w:r>
      <w:r>
        <w:t xml:space="preserve"> system. A host of </w:t>
      </w:r>
      <w:r w:rsidR="009F7358">
        <w:t>quality</w:t>
      </w:r>
      <w:r>
        <w:t xml:space="preserve"> related </w:t>
      </w:r>
      <w:r w:rsidR="009F7358">
        <w:t>measures</w:t>
      </w:r>
      <w:r>
        <w:t xml:space="preserve"> need to be</w:t>
      </w:r>
      <w:r w:rsidR="00B85895">
        <w:t xml:space="preserve"> institu</w:t>
      </w:r>
      <w:r>
        <w:t xml:space="preserve">ted from the farm through the export </w:t>
      </w:r>
      <w:r>
        <w:lastRenderedPageBreak/>
        <w:t xml:space="preserve">markets. A </w:t>
      </w:r>
      <w:r w:rsidR="009F7358">
        <w:t xml:space="preserve">government </w:t>
      </w:r>
      <w:r>
        <w:t xml:space="preserve">committee </w:t>
      </w:r>
      <w:r w:rsidR="009F7358">
        <w:t>l</w:t>
      </w:r>
      <w:r>
        <w:t xml:space="preserve">ooked </w:t>
      </w:r>
      <w:r w:rsidR="00B85895">
        <w:t>a</w:t>
      </w:r>
      <w:r w:rsidR="009F7358">
        <w:t>t</w:t>
      </w:r>
      <w:r>
        <w:t xml:space="preserve"> this without </w:t>
      </w:r>
      <w:r w:rsidR="009F7358">
        <w:t>finding a solutio</w:t>
      </w:r>
      <w:r>
        <w:t>n.</w:t>
      </w:r>
      <w:r w:rsidR="009F7358">
        <w:t xml:space="preserve"> </w:t>
      </w:r>
      <w:r>
        <w:t xml:space="preserve">That effort is </w:t>
      </w:r>
      <w:r w:rsidR="00B85895">
        <w:t>continuing</w:t>
      </w:r>
      <w:r w:rsidR="00AB3982">
        <w:t xml:space="preserve">. </w:t>
      </w:r>
      <w:r w:rsidR="009F7358">
        <w:t>But</w:t>
      </w:r>
      <w:r>
        <w:t xml:space="preserve"> there is urgency </w:t>
      </w:r>
      <w:r w:rsidR="009F7358">
        <w:t>in</w:t>
      </w:r>
      <w:r>
        <w:t xml:space="preserve"> </w:t>
      </w:r>
      <w:r w:rsidR="009F7358">
        <w:t xml:space="preserve">reaching </w:t>
      </w:r>
      <w:r>
        <w:t>that decision.</w:t>
      </w:r>
    </w:p>
    <w:p w:rsidR="00D87D9B" w:rsidRDefault="00D87D9B" w:rsidP="005B21A4">
      <w:pPr>
        <w:spacing w:line="480" w:lineRule="auto"/>
        <w:rPr>
          <w:u w:val="single"/>
        </w:rPr>
      </w:pPr>
    </w:p>
    <w:p w:rsidR="00D87D9B" w:rsidRDefault="00D87D9B" w:rsidP="005B21A4">
      <w:pPr>
        <w:spacing w:line="480" w:lineRule="auto"/>
        <w:rPr>
          <w:u w:val="single"/>
        </w:rPr>
      </w:pPr>
    </w:p>
    <w:p w:rsidR="00527339" w:rsidRDefault="000066E8" w:rsidP="005B21A4">
      <w:pPr>
        <w:spacing w:line="480" w:lineRule="auto"/>
        <w:rPr>
          <w:u w:val="single"/>
        </w:rPr>
      </w:pPr>
      <w:r>
        <w:rPr>
          <w:u w:val="single"/>
        </w:rPr>
        <w:t>Agricultural</w:t>
      </w:r>
      <w:r w:rsidR="00527339">
        <w:rPr>
          <w:u w:val="single"/>
        </w:rPr>
        <w:t xml:space="preserve"> Growth and Poverty Reduction</w:t>
      </w:r>
    </w:p>
    <w:p w:rsidR="00863C14" w:rsidRDefault="00B76129" w:rsidP="005B21A4">
      <w:pPr>
        <w:spacing w:line="480" w:lineRule="auto"/>
      </w:pPr>
      <w:r w:rsidRPr="00B76129">
        <w:t xml:space="preserve">The </w:t>
      </w:r>
      <w:r w:rsidR="000066E8" w:rsidRPr="00B76129">
        <w:t>resources</w:t>
      </w:r>
      <w:r w:rsidRPr="00B76129">
        <w:t xml:space="preserve"> </w:t>
      </w:r>
      <w:r w:rsidR="000066E8" w:rsidRPr="00B76129">
        <w:t>for</w:t>
      </w:r>
      <w:r w:rsidRPr="00B76129">
        <w:t xml:space="preserve"> agricultural growth are</w:t>
      </w:r>
      <w:r w:rsidR="00535F24">
        <w:t xml:space="preserve"> often justified b</w:t>
      </w:r>
      <w:r w:rsidR="00411D43">
        <w:t xml:space="preserve">y </w:t>
      </w:r>
      <w:r w:rsidR="000066E8">
        <w:t>expected</w:t>
      </w:r>
      <w:r>
        <w:t xml:space="preserve"> impact on poverty reduction. The international</w:t>
      </w:r>
      <w:r w:rsidR="00411D43">
        <w:t xml:space="preserve"> </w:t>
      </w:r>
      <w:r>
        <w:t>cross-section data</w:t>
      </w:r>
      <w:r w:rsidR="00411D43">
        <w:t xml:space="preserve"> </w:t>
      </w:r>
      <w:r>
        <w:t>are</w:t>
      </w:r>
      <w:r w:rsidR="00411D43">
        <w:t xml:space="preserve"> </w:t>
      </w:r>
      <w:r>
        <w:t xml:space="preserve">consistent </w:t>
      </w:r>
      <w:r w:rsidR="000066E8">
        <w:t>with</w:t>
      </w:r>
      <w:r>
        <w:t xml:space="preserve"> that. Where </w:t>
      </w:r>
      <w:r w:rsidR="00115EC3">
        <w:t>Agriculture</w:t>
      </w:r>
      <w:r>
        <w:t xml:space="preserve"> grows rapidly </w:t>
      </w:r>
      <w:r w:rsidR="000066E8">
        <w:t>poverty</w:t>
      </w:r>
      <w:r>
        <w:t xml:space="preserve"> declines </w:t>
      </w:r>
      <w:r w:rsidR="000066E8">
        <w:t>rapidly</w:t>
      </w:r>
      <w:r>
        <w:t>.</w:t>
      </w:r>
      <w:r>
        <w:rPr>
          <w:rStyle w:val="FootnoteReference"/>
        </w:rPr>
        <w:footnoteReference w:id="11"/>
      </w:r>
      <w:r>
        <w:t xml:space="preserve"> </w:t>
      </w:r>
      <w:r w:rsidR="000066E8">
        <w:t>Where</w:t>
      </w:r>
      <w:r>
        <w:t xml:space="preserve"> it does not </w:t>
      </w:r>
      <w:r w:rsidR="000066E8">
        <w:t>poverty</w:t>
      </w:r>
      <w:r>
        <w:t xml:space="preserve"> </w:t>
      </w:r>
      <w:r w:rsidR="000066E8">
        <w:t>declines</w:t>
      </w:r>
      <w:r>
        <w:t xml:space="preserve"> </w:t>
      </w:r>
      <w:r w:rsidR="000066E8">
        <w:t>little</w:t>
      </w:r>
      <w:r>
        <w:t xml:space="preserve"> or not at all.</w:t>
      </w:r>
      <w:r w:rsidR="001A67D0">
        <w:t xml:space="preserve"> </w:t>
      </w:r>
      <w:proofErr w:type="spellStart"/>
      <w:r>
        <w:t>Timmer</w:t>
      </w:r>
      <w:proofErr w:type="spellEnd"/>
      <w:r w:rsidR="00D96A8E">
        <w:t xml:space="preserve"> (1997)</w:t>
      </w:r>
      <w:r>
        <w:t xml:space="preserve"> shows </w:t>
      </w:r>
      <w:r w:rsidR="000066E8">
        <w:t>that</w:t>
      </w:r>
      <w:r>
        <w:t xml:space="preserve"> large scale,</w:t>
      </w:r>
      <w:r w:rsidR="000066E8">
        <w:t xml:space="preserve"> </w:t>
      </w:r>
      <w:r>
        <w:t>e.g.</w:t>
      </w:r>
      <w:r w:rsidR="000066E8">
        <w:t xml:space="preserve"> Latin</w:t>
      </w:r>
      <w:r>
        <w:t xml:space="preserve"> American </w:t>
      </w:r>
      <w:r w:rsidR="000066E8">
        <w:t>style</w:t>
      </w:r>
      <w:r>
        <w:t xml:space="preserve">, </w:t>
      </w:r>
      <w:r w:rsidR="000066E8">
        <w:t>agriculture</w:t>
      </w:r>
      <w:r>
        <w:t xml:space="preserve"> is not associated </w:t>
      </w:r>
      <w:r w:rsidR="000066E8">
        <w:t>with</w:t>
      </w:r>
      <w:r>
        <w:t xml:space="preserve"> </w:t>
      </w:r>
      <w:r w:rsidR="000066E8">
        <w:t>such</w:t>
      </w:r>
      <w:r>
        <w:t xml:space="preserve"> </w:t>
      </w:r>
      <w:r w:rsidR="000066E8">
        <w:t>declines</w:t>
      </w:r>
      <w:r>
        <w:t xml:space="preserve"> </w:t>
      </w:r>
      <w:r w:rsidR="00535F24">
        <w:t>i</w:t>
      </w:r>
      <w:r>
        <w:t xml:space="preserve">n poverty. </w:t>
      </w:r>
    </w:p>
    <w:p w:rsidR="00863C14" w:rsidRDefault="00863C14" w:rsidP="005B21A4">
      <w:pPr>
        <w:spacing w:line="480" w:lineRule="auto"/>
      </w:pPr>
      <w:r>
        <w:t>The</w:t>
      </w:r>
      <w:r w:rsidR="008E0597">
        <w:t xml:space="preserve"> CSA data show that the p</w:t>
      </w:r>
      <w:r>
        <w:t>roportion</w:t>
      </w:r>
      <w:r w:rsidR="008E0597">
        <w:t xml:space="preserve"> </w:t>
      </w:r>
      <w:r>
        <w:t xml:space="preserve">of the rural </w:t>
      </w:r>
      <w:r w:rsidR="008E0597">
        <w:t>population</w:t>
      </w:r>
      <w:r>
        <w:t xml:space="preserve"> </w:t>
      </w:r>
      <w:r w:rsidR="008E0597">
        <w:t>falling</w:t>
      </w:r>
      <w:r>
        <w:t xml:space="preserve"> under the poverty line has </w:t>
      </w:r>
      <w:r w:rsidR="008E0597">
        <w:t>from</w:t>
      </w:r>
      <w:r>
        <w:t xml:space="preserve"> 1995 to </w:t>
      </w:r>
      <w:r w:rsidR="008E0597">
        <w:t xml:space="preserve">the </w:t>
      </w:r>
      <w:r>
        <w:t>present</w:t>
      </w:r>
      <w:r w:rsidR="008E0597">
        <w:t xml:space="preserve"> </w:t>
      </w:r>
      <w:r>
        <w:t>dropped from</w:t>
      </w:r>
      <w:r w:rsidR="008E0597">
        <w:t xml:space="preserve"> </w:t>
      </w:r>
      <w:r>
        <w:t xml:space="preserve">somewhat </w:t>
      </w:r>
      <w:r w:rsidR="008E0597">
        <w:t>above fif</w:t>
      </w:r>
      <w:r>
        <w:t xml:space="preserve">ty </w:t>
      </w:r>
      <w:r w:rsidR="008E0597">
        <w:t>percent</w:t>
      </w:r>
      <w:r>
        <w:t xml:space="preserve"> to somewhat </w:t>
      </w:r>
      <w:r w:rsidR="008E0597">
        <w:t>above</w:t>
      </w:r>
      <w:r>
        <w:t xml:space="preserve"> 25 </w:t>
      </w:r>
      <w:r w:rsidR="008E0597">
        <w:t>percent</w:t>
      </w:r>
      <w:r>
        <w:t>. A recent World Bank study</w:t>
      </w:r>
      <w:r w:rsidR="008E0597">
        <w:t>, as yet unreleased, fully corroborates these numbers. They are consistent with the growth rate in cereals product shown in this paper.</w:t>
      </w:r>
    </w:p>
    <w:p w:rsidR="00B76129" w:rsidRDefault="008E0597" w:rsidP="005B21A4">
      <w:pPr>
        <w:spacing w:line="480" w:lineRule="auto"/>
      </w:pPr>
      <w:r>
        <w:t>However</w:t>
      </w:r>
      <w:r w:rsidR="00B76129">
        <w:t xml:space="preserve"> we</w:t>
      </w:r>
      <w:r w:rsidR="00411D43">
        <w:t xml:space="preserve"> </w:t>
      </w:r>
      <w:r w:rsidR="00B76129">
        <w:t>make</w:t>
      </w:r>
      <w:r w:rsidR="00411D43">
        <w:t xml:space="preserve"> </w:t>
      </w:r>
      <w:r w:rsidR="000066E8">
        <w:t>the</w:t>
      </w:r>
      <w:r w:rsidR="00411D43">
        <w:t xml:space="preserve"> </w:t>
      </w:r>
      <w:r w:rsidR="000066E8">
        <w:t>point</w:t>
      </w:r>
      <w:r w:rsidR="00B76129">
        <w:t xml:space="preserve"> above that </w:t>
      </w:r>
      <w:r w:rsidR="000066E8">
        <w:t>Ethiopia’s</w:t>
      </w:r>
      <w:r w:rsidR="00B76129">
        <w:t xml:space="preserve"> agricultural growth, as for most low </w:t>
      </w:r>
      <w:r w:rsidR="000066E8">
        <w:t>income</w:t>
      </w:r>
      <w:r w:rsidR="00B76129">
        <w:t xml:space="preserve"> countries, is driven by the small c</w:t>
      </w:r>
      <w:r w:rsidR="00411D43">
        <w:t>om</w:t>
      </w:r>
      <w:r w:rsidR="00B76129">
        <w:t xml:space="preserve">mercial farmer who is not poor. How is that </w:t>
      </w:r>
      <w:r w:rsidR="000066E8">
        <w:t xml:space="preserve">connection </w:t>
      </w:r>
      <w:r w:rsidR="00B76129">
        <w:t xml:space="preserve">between </w:t>
      </w:r>
      <w:r w:rsidR="000066E8">
        <w:t>incomes</w:t>
      </w:r>
      <w:r w:rsidR="00B76129">
        <w:t xml:space="preserve"> </w:t>
      </w:r>
      <w:r w:rsidR="000066E8">
        <w:t>accruing</w:t>
      </w:r>
      <w:r w:rsidR="00B76129">
        <w:t xml:space="preserve"> to non</w:t>
      </w:r>
      <w:r w:rsidR="000066E8">
        <w:t>-</w:t>
      </w:r>
      <w:r w:rsidR="00B76129">
        <w:t xml:space="preserve">poor small commercial farmers getting into </w:t>
      </w:r>
      <w:r w:rsidR="000066E8">
        <w:t xml:space="preserve">the hands </w:t>
      </w:r>
      <w:r w:rsidR="00B76129">
        <w:t xml:space="preserve">of </w:t>
      </w:r>
      <w:r w:rsidR="000066E8">
        <w:t>the</w:t>
      </w:r>
      <w:r w:rsidR="00B76129">
        <w:t xml:space="preserve"> </w:t>
      </w:r>
      <w:r w:rsidR="000066E8">
        <w:t>poor?</w:t>
      </w:r>
      <w:r w:rsidR="00B76129">
        <w:t xml:space="preserve"> It is not for this</w:t>
      </w:r>
      <w:r w:rsidR="000066E8">
        <w:t xml:space="preserve"> </w:t>
      </w:r>
      <w:r w:rsidR="00B76129">
        <w:t>paper</w:t>
      </w:r>
      <w:r w:rsidR="000066E8">
        <w:t xml:space="preserve"> </w:t>
      </w:r>
      <w:r w:rsidR="00B76129">
        <w:t xml:space="preserve">to spell this out </w:t>
      </w:r>
      <w:r w:rsidR="000066E8">
        <w:t>in</w:t>
      </w:r>
      <w:r w:rsidR="00B76129">
        <w:t xml:space="preserve"> detail.</w:t>
      </w:r>
      <w:r w:rsidR="00411D43">
        <w:t xml:space="preserve"> </w:t>
      </w:r>
      <w:r w:rsidR="000066E8">
        <w:t>However</w:t>
      </w:r>
      <w:r w:rsidR="00411D43">
        <w:t xml:space="preserve"> a recent paper by </w:t>
      </w:r>
      <w:proofErr w:type="spellStart"/>
      <w:r w:rsidR="00411D43">
        <w:t>Doros</w:t>
      </w:r>
      <w:r w:rsidR="00B76129">
        <w:t>h</w:t>
      </w:r>
      <w:proofErr w:type="spellEnd"/>
      <w:r w:rsidR="00B76129">
        <w:t xml:space="preserve"> and </w:t>
      </w:r>
      <w:r w:rsidR="004A53BF">
        <w:t>Mellor (</w:t>
      </w:r>
      <w:r w:rsidR="00D96A8E">
        <w:t>2012</w:t>
      </w:r>
      <w:r w:rsidR="00B76129">
        <w:t>,</w:t>
      </w:r>
      <w:r w:rsidR="00D96A8E">
        <w:t>)</w:t>
      </w:r>
      <w:r w:rsidR="00B76129">
        <w:t xml:space="preserve"> based</w:t>
      </w:r>
      <w:r w:rsidR="00411D43">
        <w:t xml:space="preserve"> </w:t>
      </w:r>
      <w:r w:rsidR="00B76129">
        <w:t>on</w:t>
      </w:r>
      <w:r w:rsidR="00411D43">
        <w:t xml:space="preserve"> </w:t>
      </w:r>
      <w:r w:rsidR="00B76129">
        <w:t>Ethi</w:t>
      </w:r>
      <w:r w:rsidR="000066E8">
        <w:t>op</w:t>
      </w:r>
      <w:r w:rsidR="00B76129">
        <w:t xml:space="preserve">ian data does </w:t>
      </w:r>
      <w:r w:rsidR="00D96A8E">
        <w:t>document</w:t>
      </w:r>
      <w:r w:rsidR="000066E8">
        <w:t xml:space="preserve"> that</w:t>
      </w:r>
      <w:r w:rsidR="00B76129">
        <w:t xml:space="preserve"> connect</w:t>
      </w:r>
      <w:r w:rsidR="001A67D0">
        <w:t>ion</w:t>
      </w:r>
      <w:r w:rsidR="00B76129">
        <w:t>.</w:t>
      </w:r>
    </w:p>
    <w:p w:rsidR="00E219AB" w:rsidRDefault="00D96A8E" w:rsidP="005B21A4">
      <w:pPr>
        <w:spacing w:line="480" w:lineRule="auto"/>
      </w:pPr>
      <w:r>
        <w:t>B</w:t>
      </w:r>
      <w:r w:rsidR="00E219AB">
        <w:t xml:space="preserve">riefly, small </w:t>
      </w:r>
      <w:r w:rsidR="000066E8">
        <w:t>commercial</w:t>
      </w:r>
      <w:r w:rsidR="00E219AB">
        <w:t xml:space="preserve"> farmers spe</w:t>
      </w:r>
      <w:r>
        <w:t>n</w:t>
      </w:r>
      <w:r w:rsidR="00E219AB">
        <w:t xml:space="preserve">d half of </w:t>
      </w:r>
      <w:r w:rsidR="000066E8">
        <w:t>increments</w:t>
      </w:r>
      <w:r w:rsidR="00E219AB">
        <w:t xml:space="preserve"> to their </w:t>
      </w:r>
      <w:r w:rsidR="000066E8">
        <w:t>income</w:t>
      </w:r>
      <w:r w:rsidR="00E219AB">
        <w:t xml:space="preserve"> on the </w:t>
      </w:r>
      <w:r w:rsidR="000066E8">
        <w:t>employment</w:t>
      </w:r>
      <w:r w:rsidR="00E219AB">
        <w:t xml:space="preserve"> </w:t>
      </w:r>
      <w:r w:rsidR="000066E8">
        <w:t>intensive</w:t>
      </w:r>
      <w:r w:rsidR="00E219AB">
        <w:t>, non-</w:t>
      </w:r>
      <w:r w:rsidR="000066E8">
        <w:t>tradable</w:t>
      </w:r>
      <w:r w:rsidR="00E219AB">
        <w:t xml:space="preserve"> rural </w:t>
      </w:r>
      <w:r>
        <w:t>non-</w:t>
      </w:r>
      <w:r w:rsidR="00E219AB">
        <w:t xml:space="preserve">farm sector. Obvious examples are increased </w:t>
      </w:r>
      <w:r w:rsidR="000066E8">
        <w:t>size of</w:t>
      </w:r>
      <w:r w:rsidR="00E219AB">
        <w:t xml:space="preserve"> </w:t>
      </w:r>
      <w:r w:rsidR="000066E8">
        <w:t>house</w:t>
      </w:r>
      <w:r w:rsidR="00E219AB">
        <w:t xml:space="preserve"> and </w:t>
      </w:r>
      <w:r w:rsidR="000066E8">
        <w:t>improvements</w:t>
      </w:r>
      <w:r w:rsidR="00E219AB">
        <w:t xml:space="preserve"> in house </w:t>
      </w:r>
      <w:r w:rsidR="000066E8">
        <w:t>quality, locally</w:t>
      </w:r>
      <w:r w:rsidR="00E219AB">
        <w:t xml:space="preserve"> made </w:t>
      </w:r>
      <w:r w:rsidR="000066E8">
        <w:t>furniture</w:t>
      </w:r>
      <w:r w:rsidR="00E219AB">
        <w:t xml:space="preserve">, at least </w:t>
      </w:r>
      <w:r w:rsidR="000066E8">
        <w:t>for women</w:t>
      </w:r>
      <w:r w:rsidR="00E219AB">
        <w:t xml:space="preserve"> some </w:t>
      </w:r>
      <w:r w:rsidR="00411D43">
        <w:t>i</w:t>
      </w:r>
      <w:r w:rsidR="00E219AB">
        <w:t>ncrease</w:t>
      </w:r>
      <w:r w:rsidR="00411D43">
        <w:t xml:space="preserve"> </w:t>
      </w:r>
      <w:r w:rsidR="00E219AB">
        <w:t xml:space="preserve">in local </w:t>
      </w:r>
      <w:r w:rsidR="00E219AB">
        <w:lastRenderedPageBreak/>
        <w:t xml:space="preserve">tailoring, and most </w:t>
      </w:r>
      <w:r w:rsidR="000066E8">
        <w:t>important increased</w:t>
      </w:r>
      <w:r w:rsidR="00E219AB">
        <w:t xml:space="preserve"> service</w:t>
      </w:r>
      <w:r w:rsidR="00024F6E">
        <w:t>s</w:t>
      </w:r>
      <w:r w:rsidR="00E219AB">
        <w:t xml:space="preserve"> ranging </w:t>
      </w:r>
      <w:r w:rsidR="000066E8">
        <w:t>from</w:t>
      </w:r>
      <w:r w:rsidR="00E219AB">
        <w:t xml:space="preserve"> </w:t>
      </w:r>
      <w:r w:rsidR="000066E8">
        <w:t>retail</w:t>
      </w:r>
      <w:r w:rsidR="00E219AB">
        <w:t xml:space="preserve"> clerks, to</w:t>
      </w:r>
      <w:r w:rsidR="000066E8">
        <w:t xml:space="preserve"> transport</w:t>
      </w:r>
      <w:r w:rsidR="00E219AB">
        <w:t xml:space="preserve"> services (bus c</w:t>
      </w:r>
      <w:r w:rsidR="000066E8">
        <w:t>o</w:t>
      </w:r>
      <w:r w:rsidR="00E219AB">
        <w:t>nductors,</w:t>
      </w:r>
      <w:r w:rsidR="000066E8">
        <w:t xml:space="preserve"> </w:t>
      </w:r>
      <w:r w:rsidR="00E219AB">
        <w:t>drivers,</w:t>
      </w:r>
      <w:r w:rsidR="000066E8">
        <w:t xml:space="preserve"> </w:t>
      </w:r>
      <w:r w:rsidR="00E219AB">
        <w:t>and repair facilities</w:t>
      </w:r>
      <w:r w:rsidR="00024F6E">
        <w:t>)</w:t>
      </w:r>
      <w:r w:rsidR="00E219AB">
        <w:t xml:space="preserve">, and personal </w:t>
      </w:r>
      <w:r w:rsidR="000066E8">
        <w:t>services</w:t>
      </w:r>
      <w:r w:rsidR="00411D43">
        <w:t xml:space="preserve"> </w:t>
      </w:r>
      <w:r w:rsidR="00E219AB">
        <w:t>at</w:t>
      </w:r>
      <w:r w:rsidR="00411D43">
        <w:t xml:space="preserve"> </w:t>
      </w:r>
      <w:r w:rsidR="005740F7">
        <w:t>the farm lev</w:t>
      </w:r>
      <w:r w:rsidR="00E219AB">
        <w:t>el.</w:t>
      </w:r>
      <w:r w:rsidR="001A67D0">
        <w:t xml:space="preserve"> </w:t>
      </w:r>
      <w:r>
        <w:t>The</w:t>
      </w:r>
      <w:r w:rsidR="00411D43">
        <w:t xml:space="preserve"> dem</w:t>
      </w:r>
      <w:r w:rsidR="00E219AB">
        <w:t>a</w:t>
      </w:r>
      <w:r w:rsidR="00024F6E">
        <w:t>nd for such goods and services is</w:t>
      </w:r>
      <w:r w:rsidR="00E219AB">
        <w:t xml:space="preserve"> elastic –</w:t>
      </w:r>
      <w:r w:rsidR="000066E8">
        <w:t>that</w:t>
      </w:r>
      <w:r w:rsidR="00E219AB">
        <w:t xml:space="preserve"> is</w:t>
      </w:r>
      <w:r w:rsidR="00024F6E">
        <w:t xml:space="preserve"> the secto</w:t>
      </w:r>
      <w:r w:rsidR="00E219AB">
        <w:t>r</w:t>
      </w:r>
      <w:r w:rsidR="00024F6E">
        <w:t xml:space="preserve"> </w:t>
      </w:r>
      <w:r w:rsidR="00E219AB">
        <w:t>grows faster than farm incomes</w:t>
      </w:r>
      <w:r w:rsidR="00293178">
        <w:t xml:space="preserve"> (</w:t>
      </w:r>
      <w:proofErr w:type="spellStart"/>
      <w:r w:rsidR="00293178">
        <w:t>Gavian</w:t>
      </w:r>
      <w:proofErr w:type="spellEnd"/>
      <w:r w:rsidR="00293178">
        <w:t xml:space="preserve"> et.al.2002, Meade and </w:t>
      </w:r>
      <w:proofErr w:type="spellStart"/>
      <w:r w:rsidR="00293178">
        <w:t>Liedholm</w:t>
      </w:r>
      <w:proofErr w:type="spellEnd"/>
      <w:r w:rsidR="00293178">
        <w:t xml:space="preserve"> 1998, </w:t>
      </w:r>
      <w:proofErr w:type="spellStart"/>
      <w:r w:rsidR="00293178">
        <w:t>Liedholm</w:t>
      </w:r>
      <w:proofErr w:type="spellEnd"/>
      <w:r w:rsidR="00293178">
        <w:t xml:space="preserve"> and Meade 1987.</w:t>
      </w:r>
      <w:r w:rsidR="00FC68CB">
        <w:t xml:space="preserve">) </w:t>
      </w:r>
      <w:r w:rsidR="00E219AB">
        <w:t xml:space="preserve"> </w:t>
      </w:r>
      <w:r w:rsidR="00024F6E">
        <w:t xml:space="preserve"> </w:t>
      </w:r>
      <w:r w:rsidR="000066E8">
        <w:t>Over</w:t>
      </w:r>
      <w:r w:rsidR="00E219AB">
        <w:t xml:space="preserve"> time those </w:t>
      </w:r>
      <w:r w:rsidR="000066E8">
        <w:t>activities</w:t>
      </w:r>
      <w:r w:rsidR="00411D43">
        <w:t xml:space="preserve"> move increasingly to </w:t>
      </w:r>
      <w:r w:rsidR="000066E8">
        <w:t>the</w:t>
      </w:r>
      <w:r w:rsidR="00411D43">
        <w:t xml:space="preserve"> </w:t>
      </w:r>
      <w:r w:rsidR="00E219AB">
        <w:t xml:space="preserve">market towns creating vibrant towns many of </w:t>
      </w:r>
      <w:r w:rsidR="000066E8">
        <w:t>which</w:t>
      </w:r>
      <w:r w:rsidR="00024F6E">
        <w:t xml:space="preserve"> </w:t>
      </w:r>
      <w:r w:rsidR="00E219AB">
        <w:t xml:space="preserve">move to </w:t>
      </w:r>
      <w:r w:rsidR="000066E8">
        <w:t>becoming</w:t>
      </w:r>
      <w:r w:rsidR="00E219AB">
        <w:t xml:space="preserve"> small cities, providing a dispersed pattern of urbanization. </w:t>
      </w:r>
    </w:p>
    <w:p w:rsidR="0040277C" w:rsidRPr="00626FE0" w:rsidRDefault="00E219AB" w:rsidP="005B21A4">
      <w:pPr>
        <w:spacing w:line="480" w:lineRule="auto"/>
      </w:pPr>
      <w:r>
        <w:t xml:space="preserve">Thus </w:t>
      </w:r>
      <w:r w:rsidR="000066E8">
        <w:t>as long</w:t>
      </w:r>
      <w:r>
        <w:t xml:space="preserve"> as there is a large stock of </w:t>
      </w:r>
      <w:r w:rsidR="000066E8">
        <w:t>underemployment</w:t>
      </w:r>
      <w:r>
        <w:t xml:space="preserve"> </w:t>
      </w:r>
      <w:r w:rsidR="000066E8">
        <w:t>rural</w:t>
      </w:r>
      <w:r>
        <w:t xml:space="preserve"> labor, </w:t>
      </w:r>
      <w:r w:rsidR="000066E8">
        <w:t>concentrated</w:t>
      </w:r>
      <w:r w:rsidR="00411D43">
        <w:t xml:space="preserve"> </w:t>
      </w:r>
      <w:r w:rsidR="000066E8">
        <w:t>mostly</w:t>
      </w:r>
      <w:r>
        <w:t xml:space="preserve"> </w:t>
      </w:r>
      <w:r w:rsidR="00024F6E">
        <w:t>i</w:t>
      </w:r>
      <w:r>
        <w:t>n the rural non-farm</w:t>
      </w:r>
      <w:r w:rsidR="00411D43">
        <w:t xml:space="preserve"> </w:t>
      </w:r>
      <w:r w:rsidR="000066E8">
        <w:t>population</w:t>
      </w:r>
      <w:r>
        <w:t xml:space="preserve"> </w:t>
      </w:r>
      <w:r w:rsidR="000066E8">
        <w:t>the</w:t>
      </w:r>
      <w:r>
        <w:t xml:space="preserve"> growth in incomes of </w:t>
      </w:r>
      <w:r w:rsidR="000066E8">
        <w:t>the</w:t>
      </w:r>
      <w:r>
        <w:t xml:space="preserve"> small commercial</w:t>
      </w:r>
      <w:r w:rsidR="00411D43">
        <w:t xml:space="preserve"> </w:t>
      </w:r>
      <w:r>
        <w:t>farmer wi</w:t>
      </w:r>
      <w:r w:rsidR="00411D43">
        <w:t xml:space="preserve">ll have major </w:t>
      </w:r>
      <w:r w:rsidR="000066E8">
        <w:t>impact</w:t>
      </w:r>
      <w:r w:rsidR="00411D43">
        <w:t xml:space="preserve"> on poverty </w:t>
      </w:r>
      <w:r w:rsidR="000066E8">
        <w:t>reduction</w:t>
      </w:r>
      <w:r>
        <w:t>.</w:t>
      </w:r>
    </w:p>
    <w:p w:rsidR="00D744C6" w:rsidRDefault="004A53BF" w:rsidP="005B21A4">
      <w:pPr>
        <w:spacing w:line="480" w:lineRule="auto"/>
        <w:rPr>
          <w:u w:val="single"/>
        </w:rPr>
      </w:pPr>
      <w:r>
        <w:rPr>
          <w:u w:val="single"/>
        </w:rPr>
        <w:t>Agricultural</w:t>
      </w:r>
      <w:r w:rsidR="00D744C6">
        <w:rPr>
          <w:u w:val="single"/>
        </w:rPr>
        <w:t xml:space="preserve"> Growth and Food Aid</w:t>
      </w:r>
    </w:p>
    <w:p w:rsidR="008E0597" w:rsidRDefault="00D744C6" w:rsidP="005B21A4">
      <w:pPr>
        <w:spacing w:line="480" w:lineRule="auto"/>
      </w:pPr>
      <w:r>
        <w:t xml:space="preserve">Ethiopia </w:t>
      </w:r>
      <w:r w:rsidR="004A53BF">
        <w:t>has</w:t>
      </w:r>
      <w:r>
        <w:t xml:space="preserve"> been one of the </w:t>
      </w:r>
      <w:r w:rsidR="004A53BF">
        <w:t>largest</w:t>
      </w:r>
      <w:r>
        <w:t xml:space="preserve"> recipients of food aid. </w:t>
      </w:r>
      <w:r w:rsidR="004A53BF">
        <w:t>Although</w:t>
      </w:r>
      <w:r>
        <w:t xml:space="preserve"> </w:t>
      </w:r>
      <w:r w:rsidR="004A53BF">
        <w:t>food</w:t>
      </w:r>
      <w:r>
        <w:t xml:space="preserve"> aid </w:t>
      </w:r>
      <w:r w:rsidR="004A53BF">
        <w:t>fluctuates considerably</w:t>
      </w:r>
      <w:r>
        <w:t xml:space="preserve"> from </w:t>
      </w:r>
      <w:r w:rsidR="004A53BF">
        <w:t>year</w:t>
      </w:r>
      <w:r>
        <w:t xml:space="preserve"> to year, it has dro</w:t>
      </w:r>
      <w:r w:rsidR="004A53BF">
        <w:t>pped by about 200,000 tons i</w:t>
      </w:r>
      <w:r>
        <w:t>n the four years 2008 to 2012, but still is at a</w:t>
      </w:r>
      <w:r w:rsidR="004A53BF">
        <w:t xml:space="preserve">bout 800,000 tons per year. </w:t>
      </w:r>
      <w:r w:rsidR="006177A7">
        <w:t>That level of food aid</w:t>
      </w:r>
      <w:r w:rsidR="008E0597">
        <w:t xml:space="preserve"> is consistent </w:t>
      </w:r>
      <w:r w:rsidR="0040277C">
        <w:t>with</w:t>
      </w:r>
      <w:r w:rsidR="008E0597">
        <w:t xml:space="preserve"> the </w:t>
      </w:r>
      <w:r w:rsidR="0040277C">
        <w:t xml:space="preserve">remaining </w:t>
      </w:r>
      <w:r w:rsidR="008E0597">
        <w:t xml:space="preserve">level </w:t>
      </w:r>
      <w:r w:rsidR="0040277C">
        <w:t>o</w:t>
      </w:r>
      <w:r w:rsidR="008E0597">
        <w:t xml:space="preserve">f rural </w:t>
      </w:r>
      <w:r w:rsidR="0040277C">
        <w:t>poverty</w:t>
      </w:r>
      <w:r w:rsidR="008E0597">
        <w:t>.</w:t>
      </w:r>
    </w:p>
    <w:p w:rsidR="00D744C6" w:rsidRDefault="004A53BF" w:rsidP="005B21A4">
      <w:pPr>
        <w:spacing w:line="480" w:lineRule="auto"/>
      </w:pPr>
      <w:r>
        <w:t>Despite dropping</w:t>
      </w:r>
      <w:r w:rsidR="00D744C6">
        <w:t xml:space="preserve"> </w:t>
      </w:r>
      <w:r>
        <w:t>nearly</w:t>
      </w:r>
      <w:r w:rsidR="00D744C6">
        <w:t xml:space="preserve"> </w:t>
      </w:r>
      <w:r>
        <w:t>i</w:t>
      </w:r>
      <w:r w:rsidR="00D744C6">
        <w:t>n half in the past 22 years</w:t>
      </w:r>
      <w:r>
        <w:t xml:space="preserve"> the proportion of the rural population below the World Bank poverty line </w:t>
      </w:r>
      <w:r w:rsidR="00D744C6">
        <w:t>is still a little</w:t>
      </w:r>
      <w:r>
        <w:t xml:space="preserve"> </w:t>
      </w:r>
      <w:r w:rsidR="00D744C6">
        <w:t>a</w:t>
      </w:r>
      <w:r>
        <w:t>b</w:t>
      </w:r>
      <w:r w:rsidR="00D744C6">
        <w:t xml:space="preserve">ove one </w:t>
      </w:r>
      <w:r>
        <w:t>quarter</w:t>
      </w:r>
      <w:r w:rsidR="00D744C6">
        <w:t xml:space="preserve">. </w:t>
      </w:r>
      <w:r w:rsidR="0040277C">
        <w:t>That is 18 million people under the poverty line. The 800,000 tons of food aid would</w:t>
      </w:r>
      <w:r w:rsidR="006177A7">
        <w:t xml:space="preserve"> provide</w:t>
      </w:r>
      <w:r w:rsidR="0040277C">
        <w:t xml:space="preserve"> 44 Kgs of </w:t>
      </w:r>
      <w:r w:rsidR="006177A7">
        <w:t>cereals per</w:t>
      </w:r>
      <w:r w:rsidR="0040277C">
        <w:t xml:space="preserve"> </w:t>
      </w:r>
      <w:r w:rsidR="006177A7">
        <w:t>person</w:t>
      </w:r>
      <w:r w:rsidR="0040277C">
        <w:t xml:space="preserve"> under the </w:t>
      </w:r>
      <w:r w:rsidR="006177A7">
        <w:t>poverty line. That</w:t>
      </w:r>
      <w:r w:rsidR="0040277C">
        <w:t xml:space="preserve"> in turn would be 29 percent </w:t>
      </w:r>
      <w:r w:rsidR="006177A7">
        <w:t>of the</w:t>
      </w:r>
      <w:r w:rsidR="0040277C">
        <w:t xml:space="preserve"> average consumption per capita of the </w:t>
      </w:r>
      <w:r w:rsidR="006177A7">
        <w:t>rural population</w:t>
      </w:r>
      <w:r w:rsidR="0040277C">
        <w:t xml:space="preserve"> </w:t>
      </w:r>
      <w:r w:rsidR="006177A7">
        <w:t>according</w:t>
      </w:r>
      <w:r w:rsidR="0040277C">
        <w:t xml:space="preserve"> to IFPRI household data. </w:t>
      </w:r>
      <w:r>
        <w:t xml:space="preserve">Since </w:t>
      </w:r>
      <w:r w:rsidR="00D744C6">
        <w:t xml:space="preserve">it is reasonable to </w:t>
      </w:r>
      <w:r>
        <w:t>assume</w:t>
      </w:r>
      <w:r w:rsidR="00D744C6">
        <w:t xml:space="preserve"> some </w:t>
      </w:r>
      <w:r w:rsidR="008E0597">
        <w:t>leakage</w:t>
      </w:r>
      <w:r w:rsidR="00D744C6">
        <w:t xml:space="preserve"> to </w:t>
      </w:r>
      <w:r>
        <w:t>somewhat</w:t>
      </w:r>
      <w:r w:rsidR="00D744C6">
        <w:t xml:space="preserve"> </w:t>
      </w:r>
      <w:r>
        <w:t>higher</w:t>
      </w:r>
      <w:r w:rsidR="00D744C6">
        <w:t xml:space="preserve"> income </w:t>
      </w:r>
      <w:r>
        <w:t>groups</w:t>
      </w:r>
      <w:r w:rsidR="00D744C6">
        <w:t xml:space="preserve"> </w:t>
      </w:r>
      <w:r>
        <w:t>the</w:t>
      </w:r>
      <w:r w:rsidR="00D744C6">
        <w:t xml:space="preserve"> increased </w:t>
      </w:r>
      <w:r>
        <w:t xml:space="preserve">consumption </w:t>
      </w:r>
      <w:r w:rsidR="00D744C6">
        <w:t>by the most</w:t>
      </w:r>
      <w:r>
        <w:t xml:space="preserve"> </w:t>
      </w:r>
      <w:r w:rsidR="00D744C6">
        <w:t>d</w:t>
      </w:r>
      <w:r>
        <w:t>ep</w:t>
      </w:r>
      <w:r w:rsidR="00D744C6">
        <w:t>rived would still</w:t>
      </w:r>
      <w:r>
        <w:t xml:space="preserve"> not lift</w:t>
      </w:r>
      <w:r w:rsidR="00D744C6">
        <w:t xml:space="preserve"> them up to </w:t>
      </w:r>
      <w:r>
        <w:t>the</w:t>
      </w:r>
      <w:r w:rsidR="00D744C6">
        <w:t xml:space="preserve"> average for the </w:t>
      </w:r>
      <w:r>
        <w:t>bottom half</w:t>
      </w:r>
      <w:r w:rsidR="00D744C6">
        <w:t>.  T</w:t>
      </w:r>
      <w:r>
        <w:t xml:space="preserve">hus the only modest decline in </w:t>
      </w:r>
      <w:r w:rsidR="00D744C6">
        <w:t>food</w:t>
      </w:r>
      <w:r>
        <w:t xml:space="preserve"> ai</w:t>
      </w:r>
      <w:r w:rsidR="00D744C6">
        <w:t xml:space="preserve">d is a </w:t>
      </w:r>
      <w:r>
        <w:t>reflection</w:t>
      </w:r>
      <w:r w:rsidR="00D744C6">
        <w:t xml:space="preserve"> of its </w:t>
      </w:r>
      <w:r>
        <w:t>gross</w:t>
      </w:r>
      <w:r w:rsidR="00D744C6">
        <w:t xml:space="preserve"> inadequacy t</w:t>
      </w:r>
      <w:r w:rsidR="008E0597">
        <w:t>o</w:t>
      </w:r>
      <w:r w:rsidR="00D744C6">
        <w:t xml:space="preserve"> </w:t>
      </w:r>
      <w:r w:rsidR="008E0597">
        <w:t xml:space="preserve">initially </w:t>
      </w:r>
      <w:r w:rsidR="00D744C6">
        <w:t xml:space="preserve">fully meet </w:t>
      </w:r>
      <w:r>
        <w:t>the food security need</w:t>
      </w:r>
      <w:r w:rsidR="00D744C6">
        <w:t>s</w:t>
      </w:r>
      <w:r>
        <w:t xml:space="preserve"> </w:t>
      </w:r>
      <w:r w:rsidR="006177A7">
        <w:t>of the poor</w:t>
      </w:r>
      <w:r w:rsidR="00D744C6">
        <w:t xml:space="preserve">. </w:t>
      </w:r>
      <w:r w:rsidR="008E0597">
        <w:t>It would seem</w:t>
      </w:r>
      <w:r w:rsidR="00C4258A">
        <w:t xml:space="preserve"> however</w:t>
      </w:r>
      <w:r w:rsidR="008E0597">
        <w:t xml:space="preserve"> </w:t>
      </w:r>
      <w:r w:rsidR="00C4258A">
        <w:t>that</w:t>
      </w:r>
      <w:r w:rsidR="008E0597">
        <w:t xml:space="preserve"> </w:t>
      </w:r>
      <w:r w:rsidR="00C4258A">
        <w:t>from</w:t>
      </w:r>
      <w:r w:rsidR="008E0597">
        <w:t xml:space="preserve"> now it will </w:t>
      </w:r>
      <w:r w:rsidR="00C4258A">
        <w:t>be</w:t>
      </w:r>
      <w:r w:rsidR="008E0597">
        <w:t xml:space="preserve"> only a few years before food aid justified as lifting the rural poor up to the poverty </w:t>
      </w:r>
      <w:r w:rsidR="00C4258A">
        <w:t>line</w:t>
      </w:r>
      <w:r w:rsidR="008E0597">
        <w:t xml:space="preserve"> will </w:t>
      </w:r>
      <w:r w:rsidR="008E0597">
        <w:lastRenderedPageBreak/>
        <w:t>be able to dec</w:t>
      </w:r>
      <w:r w:rsidR="00C4258A">
        <w:t>li</w:t>
      </w:r>
      <w:r w:rsidR="008E0597">
        <w:t xml:space="preserve">ne substantially. Given that food aid is </w:t>
      </w:r>
      <w:r w:rsidR="00C4258A">
        <w:t>equal</w:t>
      </w:r>
      <w:r w:rsidR="008E0597">
        <w:t xml:space="preserve"> to abo</w:t>
      </w:r>
      <w:r w:rsidR="00C4258A">
        <w:t>ut 20</w:t>
      </w:r>
      <w:r w:rsidR="006177A7">
        <w:t xml:space="preserve"> </w:t>
      </w:r>
      <w:r w:rsidR="00C4258A">
        <w:t xml:space="preserve">percent </w:t>
      </w:r>
      <w:r w:rsidR="008E0597">
        <w:t xml:space="preserve">of domestic wheat </w:t>
      </w:r>
      <w:r w:rsidR="00C4258A">
        <w:t>supply significant adjustments in the composition of product</w:t>
      </w:r>
      <w:r w:rsidR="006177A7">
        <w:t>ion</w:t>
      </w:r>
      <w:r w:rsidR="00C4258A">
        <w:t xml:space="preserve"> and consumption will need to occur.</w:t>
      </w:r>
    </w:p>
    <w:p w:rsidR="00077563" w:rsidRDefault="00293178" w:rsidP="005B21A4">
      <w:pPr>
        <w:spacing w:line="480" w:lineRule="auto"/>
        <w:rPr>
          <w:u w:val="single"/>
        </w:rPr>
      </w:pPr>
      <w:r>
        <w:rPr>
          <w:u w:val="single"/>
        </w:rPr>
        <w:t>Conclusion</w:t>
      </w:r>
    </w:p>
    <w:p w:rsidR="00077563" w:rsidRDefault="00077563" w:rsidP="005B21A4">
      <w:pPr>
        <w:spacing w:line="480" w:lineRule="auto"/>
      </w:pPr>
      <w:r>
        <w:t>Ethiopia demonstrates that growth r</w:t>
      </w:r>
      <w:r w:rsidR="00037FC0">
        <w:t>a</w:t>
      </w:r>
      <w:r>
        <w:t>te</w:t>
      </w:r>
      <w:r w:rsidR="00037FC0">
        <w:t xml:space="preserve"> </w:t>
      </w:r>
      <w:r w:rsidR="00B85895">
        <w:t>in cereals pro</w:t>
      </w:r>
      <w:r>
        <w:t xml:space="preserve">duction </w:t>
      </w:r>
      <w:r w:rsidR="00037FC0">
        <w:t>faster</w:t>
      </w:r>
      <w:r>
        <w:t xml:space="preserve"> </w:t>
      </w:r>
      <w:r w:rsidR="00037FC0">
        <w:t>than</w:t>
      </w:r>
      <w:r>
        <w:t xml:space="preserve"> the Africa wide target </w:t>
      </w:r>
      <w:r w:rsidR="00037FC0">
        <w:t>in</w:t>
      </w:r>
      <w:r>
        <w:t xml:space="preserve"> CAADP is feasible and for decades. That growth is </w:t>
      </w:r>
      <w:r w:rsidR="00037FC0">
        <w:t>based on</w:t>
      </w:r>
      <w:r>
        <w:t xml:space="preserve"> the not</w:t>
      </w:r>
      <w:r w:rsidR="00037FC0">
        <w:t xml:space="preserve"> p</w:t>
      </w:r>
      <w:r>
        <w:t>oor small</w:t>
      </w:r>
      <w:r w:rsidR="00037FC0">
        <w:t xml:space="preserve"> commercial</w:t>
      </w:r>
      <w:r>
        <w:t xml:space="preserve"> </w:t>
      </w:r>
      <w:r w:rsidR="00037FC0">
        <w:t>farmer</w:t>
      </w:r>
      <w:r>
        <w:t xml:space="preserve"> who requires a wide </w:t>
      </w:r>
      <w:r w:rsidR="00037FC0">
        <w:t>range</w:t>
      </w:r>
      <w:r>
        <w:t xml:space="preserve"> </w:t>
      </w:r>
      <w:r w:rsidR="00037FC0">
        <w:t>of</w:t>
      </w:r>
      <w:r>
        <w:t xml:space="preserve"> public goods and service</w:t>
      </w:r>
      <w:r w:rsidR="0055251C">
        <w:t xml:space="preserve"> if she is to increase production rapidly.</w:t>
      </w:r>
      <w:r>
        <w:t xml:space="preserve"> </w:t>
      </w:r>
      <w:r w:rsidR="00037FC0">
        <w:t>Ethiopia</w:t>
      </w:r>
      <w:r>
        <w:t xml:space="preserve"> has succeeded because it has a </w:t>
      </w:r>
      <w:r w:rsidR="00037FC0">
        <w:t>clearly</w:t>
      </w:r>
      <w:r>
        <w:t xml:space="preserve"> stated vision and a stra</w:t>
      </w:r>
      <w:r w:rsidR="00037FC0">
        <w:t>te</w:t>
      </w:r>
      <w:r>
        <w:t xml:space="preserve">gy </w:t>
      </w:r>
      <w:r w:rsidR="00037FC0">
        <w:t>that</w:t>
      </w:r>
      <w:r>
        <w:t xml:space="preserve"> </w:t>
      </w:r>
      <w:r w:rsidR="00037FC0">
        <w:t>explicitly</w:t>
      </w:r>
      <w:r>
        <w:t xml:space="preserve"> </w:t>
      </w:r>
      <w:r w:rsidR="00B85895">
        <w:t xml:space="preserve">places </w:t>
      </w:r>
      <w:r w:rsidR="00037FC0">
        <w:t>rapid agricultural</w:t>
      </w:r>
      <w:r>
        <w:t xml:space="preserve"> </w:t>
      </w:r>
      <w:r w:rsidR="00037FC0">
        <w:t>growth</w:t>
      </w:r>
      <w:r>
        <w:t xml:space="preserve"> </w:t>
      </w:r>
      <w:r w:rsidR="00B85895">
        <w:t>a</w:t>
      </w:r>
      <w:r>
        <w:t xml:space="preserve">t </w:t>
      </w:r>
      <w:r w:rsidR="00037FC0">
        <w:t>the</w:t>
      </w:r>
      <w:r>
        <w:t xml:space="preserve"> forefront of </w:t>
      </w:r>
      <w:r w:rsidR="00037FC0">
        <w:t>the</w:t>
      </w:r>
      <w:r>
        <w:t xml:space="preserve"> growth and economic </w:t>
      </w:r>
      <w:r w:rsidR="00037FC0">
        <w:t xml:space="preserve">transformation </w:t>
      </w:r>
      <w:r>
        <w:t xml:space="preserve">process. The </w:t>
      </w:r>
      <w:r w:rsidR="00037FC0">
        <w:t>high</w:t>
      </w:r>
      <w:r>
        <w:t xml:space="preserve"> growth rate started </w:t>
      </w:r>
      <w:r w:rsidR="00037FC0">
        <w:t>with</w:t>
      </w:r>
      <w:r>
        <w:t xml:space="preserve"> </w:t>
      </w:r>
      <w:r w:rsidR="00037FC0">
        <w:t>recovery</w:t>
      </w:r>
      <w:r>
        <w:t xml:space="preserve"> </w:t>
      </w:r>
      <w:r w:rsidR="00037FC0">
        <w:t>after</w:t>
      </w:r>
      <w:r>
        <w:t xml:space="preserve"> a long period of stagnation and </w:t>
      </w:r>
      <w:r w:rsidR="00037FC0">
        <w:t>retrogress</w:t>
      </w:r>
      <w:r w:rsidR="00B85895">
        <w:t>ion</w:t>
      </w:r>
      <w:r>
        <w:t xml:space="preserve">, </w:t>
      </w:r>
      <w:r w:rsidR="00037FC0">
        <w:t>intensification</w:t>
      </w:r>
      <w:r>
        <w:t xml:space="preserve"> of tradit</w:t>
      </w:r>
      <w:r w:rsidR="00037FC0">
        <w:t>io</w:t>
      </w:r>
      <w:r>
        <w:t xml:space="preserve">nal process enhanced by a massive extension service and large scale investment in </w:t>
      </w:r>
      <w:r w:rsidR="00037FC0">
        <w:t>roads</w:t>
      </w:r>
      <w:r>
        <w:t xml:space="preserve">. </w:t>
      </w:r>
      <w:r w:rsidR="00B85895">
        <w:t>Nex</w:t>
      </w:r>
      <w:r w:rsidR="00037FC0">
        <w:t>t</w:t>
      </w:r>
      <w:r>
        <w:t xml:space="preserve"> a seed fertilizer </w:t>
      </w:r>
      <w:r w:rsidR="00037FC0">
        <w:t>strategy</w:t>
      </w:r>
      <w:r>
        <w:t xml:space="preserve"> </w:t>
      </w:r>
      <w:r w:rsidR="00037FC0">
        <w:t>was</w:t>
      </w:r>
      <w:r>
        <w:t xml:space="preserve"> </w:t>
      </w:r>
      <w:r w:rsidR="00037FC0">
        <w:t>followed</w:t>
      </w:r>
      <w:r>
        <w:t xml:space="preserve"> </w:t>
      </w:r>
      <w:r w:rsidR="00B85895">
        <w:t>wi</w:t>
      </w:r>
      <w:r>
        <w:t xml:space="preserve">th a major push to ensure a </w:t>
      </w:r>
      <w:r w:rsidR="00037FC0">
        <w:t>high</w:t>
      </w:r>
      <w:r>
        <w:t xml:space="preserve"> </w:t>
      </w:r>
      <w:r w:rsidR="00037FC0">
        <w:t>growth</w:t>
      </w:r>
      <w:r w:rsidR="00B85895">
        <w:t xml:space="preserve"> rat</w:t>
      </w:r>
      <w:r>
        <w:t>e</w:t>
      </w:r>
      <w:r w:rsidR="00B85895">
        <w:t xml:space="preserve"> i</w:t>
      </w:r>
      <w:r>
        <w:t xml:space="preserve">n fertilizer </w:t>
      </w:r>
      <w:r w:rsidR="00037FC0">
        <w:t>use</w:t>
      </w:r>
      <w:r>
        <w:t xml:space="preserve">. Now that </w:t>
      </w:r>
      <w:r w:rsidR="00B85895">
        <w:t>approach i</w:t>
      </w:r>
      <w:r w:rsidR="00037FC0">
        <w:t>s</w:t>
      </w:r>
      <w:r>
        <w:t xml:space="preserve"> also running out and the</w:t>
      </w:r>
      <w:r w:rsidR="00037FC0">
        <w:t xml:space="preserve"> government</w:t>
      </w:r>
      <w:r>
        <w:t xml:space="preserve"> is </w:t>
      </w:r>
      <w:r w:rsidR="00037FC0">
        <w:t>tooling</w:t>
      </w:r>
      <w:r>
        <w:t xml:space="preserve"> up to </w:t>
      </w:r>
      <w:r w:rsidR="00037FC0">
        <w:t>advance</w:t>
      </w:r>
      <w:r>
        <w:t xml:space="preserve"> six major </w:t>
      </w:r>
      <w:r w:rsidR="00B85895">
        <w:t>institutional</w:t>
      </w:r>
      <w:r>
        <w:t xml:space="preserve"> </w:t>
      </w:r>
      <w:r w:rsidR="00037FC0">
        <w:t>structures fo</w:t>
      </w:r>
      <w:r>
        <w:t>r</w:t>
      </w:r>
      <w:r w:rsidR="00037FC0">
        <w:t xml:space="preserve"> the next</w:t>
      </w:r>
      <w:r>
        <w:t xml:space="preserve"> </w:t>
      </w:r>
      <w:r w:rsidR="00037FC0">
        <w:t>round</w:t>
      </w:r>
      <w:r>
        <w:t xml:space="preserve">. The changes needed for </w:t>
      </w:r>
      <w:r w:rsidR="00037FC0">
        <w:t>that</w:t>
      </w:r>
      <w:r>
        <w:t xml:space="preserve"> next round are feasible </w:t>
      </w:r>
      <w:r w:rsidR="00037FC0">
        <w:t>but difficult</w:t>
      </w:r>
      <w:r>
        <w:t>.</w:t>
      </w:r>
    </w:p>
    <w:p w:rsidR="008E2ED3" w:rsidRDefault="006D161D" w:rsidP="005B21A4">
      <w:pPr>
        <w:spacing w:line="480" w:lineRule="auto"/>
      </w:pPr>
      <w:r>
        <w:t>REFERENCES</w:t>
      </w:r>
    </w:p>
    <w:p w:rsidR="00AD50A7" w:rsidRDefault="00AD50A7" w:rsidP="005B21A4">
      <w:pPr>
        <w:spacing w:line="480" w:lineRule="auto"/>
      </w:pPr>
      <w:r>
        <w:t xml:space="preserve">African Union (2010), </w:t>
      </w:r>
      <w:r w:rsidRPr="00E00945">
        <w:rPr>
          <w:u w:val="single"/>
        </w:rPr>
        <w:t xml:space="preserve">Comprehensive </w:t>
      </w:r>
      <w:r w:rsidR="00E00945" w:rsidRPr="00E00945">
        <w:rPr>
          <w:u w:val="single"/>
        </w:rPr>
        <w:t xml:space="preserve">African </w:t>
      </w:r>
      <w:r w:rsidRPr="00E00945">
        <w:rPr>
          <w:u w:val="single"/>
        </w:rPr>
        <w:t>Agricultural Development Plan</w:t>
      </w:r>
      <w:r w:rsidR="00E00945">
        <w:t xml:space="preserve"> (CAADP)</w:t>
      </w:r>
      <w:r>
        <w:t>, Addis Ababa</w:t>
      </w:r>
    </w:p>
    <w:p w:rsidR="006C5E2B" w:rsidRDefault="006C5E2B" w:rsidP="005B21A4">
      <w:pPr>
        <w:spacing w:line="480" w:lineRule="auto"/>
      </w:pPr>
      <w:r>
        <w:t>Ah</w:t>
      </w:r>
      <w:r w:rsidR="00A1613F">
        <w:t>med, R. (1990</w:t>
      </w:r>
      <w:r>
        <w:t xml:space="preserve">), Impact of </w:t>
      </w:r>
      <w:r w:rsidR="00A1613F">
        <w:t xml:space="preserve">Rural Infrastructure in </w:t>
      </w:r>
      <w:proofErr w:type="spellStart"/>
      <w:r w:rsidR="00A1613F">
        <w:t>Banagladesh</w:t>
      </w:r>
      <w:proofErr w:type="spellEnd"/>
      <w:r w:rsidR="00E51584">
        <w:t>, IFPRI Research Report 8</w:t>
      </w:r>
      <w:r w:rsidR="00A1613F">
        <w:t>3</w:t>
      </w:r>
      <w:r>
        <w:t>. Washi</w:t>
      </w:r>
      <w:r w:rsidR="00E51584">
        <w:t>ngton D.C.</w:t>
      </w:r>
    </w:p>
    <w:p w:rsidR="00794E0B" w:rsidRDefault="00794E0B" w:rsidP="005B21A4">
      <w:pPr>
        <w:spacing w:line="480" w:lineRule="auto"/>
      </w:pPr>
      <w:proofErr w:type="spellStart"/>
      <w:r>
        <w:t>Bigsten</w:t>
      </w:r>
      <w:proofErr w:type="spellEnd"/>
      <w:r>
        <w:t>, A, Collier, P. (1995), “Linkages from Agricultural Growth in Kenya”, in John W. Mellor (ed.) Agriculture on the Road to Industrialization, Johns Hopkins University Press.</w:t>
      </w:r>
    </w:p>
    <w:p w:rsidR="00794E0B" w:rsidRDefault="00794E0B" w:rsidP="005B21A4">
      <w:pPr>
        <w:spacing w:line="480" w:lineRule="auto"/>
      </w:pPr>
      <w:r w:rsidRPr="00794E0B">
        <w:t xml:space="preserve">Collier, P., </w:t>
      </w:r>
      <w:proofErr w:type="spellStart"/>
      <w:r w:rsidRPr="00794E0B">
        <w:t>Dercon</w:t>
      </w:r>
      <w:proofErr w:type="spellEnd"/>
      <w:r w:rsidRPr="00794E0B">
        <w:t xml:space="preserve">, </w:t>
      </w:r>
      <w:proofErr w:type="gramStart"/>
      <w:r w:rsidRPr="00794E0B">
        <w:t>S</w:t>
      </w:r>
      <w:proofErr w:type="gramEnd"/>
      <w:r w:rsidRPr="00794E0B">
        <w:t>.</w:t>
      </w:r>
      <w:r>
        <w:t xml:space="preserve"> (2014)</w:t>
      </w:r>
      <w:r w:rsidRPr="00794E0B">
        <w:t>,</w:t>
      </w:r>
      <w:r>
        <w:t xml:space="preserve"> S.</w:t>
      </w:r>
      <w:r w:rsidRPr="00794E0B">
        <w:t xml:space="preserve"> African Agriculture in 50 Years: Smallhold</w:t>
      </w:r>
      <w:r w:rsidR="00B40238">
        <w:t>ers in a Rapidly Changing World,</w:t>
      </w:r>
      <w:r w:rsidRPr="00794E0B">
        <w:t xml:space="preserve"> World Development in press.</w:t>
      </w:r>
    </w:p>
    <w:p w:rsidR="00E51584" w:rsidRDefault="00E51584" w:rsidP="005B21A4">
      <w:pPr>
        <w:autoSpaceDE w:val="0"/>
        <w:autoSpaceDN w:val="0"/>
        <w:adjustRightInd w:val="0"/>
        <w:spacing w:after="0" w:line="480" w:lineRule="auto"/>
        <w:rPr>
          <w:rFonts w:ascii="Times New Roman" w:hAnsi="Times New Roman" w:cs="Times New Roman"/>
          <w:bCs/>
          <w:sz w:val="24"/>
          <w:szCs w:val="24"/>
        </w:rPr>
      </w:pPr>
      <w:proofErr w:type="spellStart"/>
      <w:r w:rsidRPr="00664264">
        <w:rPr>
          <w:rFonts w:eastAsia="MS Mincho"/>
          <w:sz w:val="24"/>
          <w:szCs w:val="24"/>
        </w:rPr>
        <w:lastRenderedPageBreak/>
        <w:t>Dercon</w:t>
      </w:r>
      <w:proofErr w:type="spellEnd"/>
      <w:r w:rsidRPr="00664264">
        <w:rPr>
          <w:rFonts w:eastAsia="MS Mincho"/>
          <w:sz w:val="24"/>
          <w:szCs w:val="24"/>
        </w:rPr>
        <w:t xml:space="preserve">, S., D. O. Gilligan, J. </w:t>
      </w:r>
      <w:proofErr w:type="spellStart"/>
      <w:r w:rsidRPr="00664264">
        <w:rPr>
          <w:rFonts w:eastAsia="MS Mincho"/>
          <w:sz w:val="24"/>
          <w:szCs w:val="24"/>
        </w:rPr>
        <w:t>Hoddinott</w:t>
      </w:r>
      <w:proofErr w:type="spellEnd"/>
      <w:r w:rsidRPr="00664264">
        <w:rPr>
          <w:rFonts w:eastAsia="MS Mincho"/>
          <w:sz w:val="24"/>
          <w:szCs w:val="24"/>
        </w:rPr>
        <w:t xml:space="preserve">, and T. </w:t>
      </w:r>
      <w:proofErr w:type="spellStart"/>
      <w:r w:rsidRPr="00664264">
        <w:rPr>
          <w:rFonts w:eastAsia="MS Mincho"/>
          <w:sz w:val="24"/>
          <w:szCs w:val="24"/>
        </w:rPr>
        <w:t>Woldehanna</w:t>
      </w:r>
      <w:proofErr w:type="spellEnd"/>
      <w:r w:rsidRPr="00664264">
        <w:rPr>
          <w:rFonts w:eastAsia="MS Mincho"/>
          <w:sz w:val="24"/>
          <w:szCs w:val="24"/>
        </w:rPr>
        <w:t xml:space="preserve">. 2008. </w:t>
      </w:r>
      <w:r w:rsidRPr="00664264">
        <w:rPr>
          <w:rFonts w:eastAsia="MS Mincho"/>
          <w:sz w:val="24"/>
          <w:szCs w:val="24"/>
          <w:u w:val="single"/>
        </w:rPr>
        <w:t>The Impact of Roads and Agricultural Extension on Crop Income, Consumption and Poverty in Fifteen Ethiopian Villages</w:t>
      </w:r>
      <w:r w:rsidRPr="00664264">
        <w:rPr>
          <w:rFonts w:eastAsia="MS Mincho"/>
          <w:sz w:val="24"/>
          <w:szCs w:val="24"/>
        </w:rPr>
        <w:t>. IFPRI Discussion Paper 00840. International Food Policy Research Institute, Washington DC, USA</w:t>
      </w:r>
    </w:p>
    <w:p w:rsidR="00E51584" w:rsidRDefault="00E51584" w:rsidP="005B21A4">
      <w:pPr>
        <w:autoSpaceDE w:val="0"/>
        <w:autoSpaceDN w:val="0"/>
        <w:adjustRightInd w:val="0"/>
        <w:spacing w:line="480" w:lineRule="auto"/>
      </w:pPr>
    </w:p>
    <w:p w:rsidR="00E51584" w:rsidRPr="00E51584" w:rsidRDefault="00B40238" w:rsidP="005B21A4">
      <w:pPr>
        <w:autoSpaceDE w:val="0"/>
        <w:autoSpaceDN w:val="0"/>
        <w:adjustRightInd w:val="0"/>
        <w:spacing w:line="480" w:lineRule="auto"/>
        <w:rPr>
          <w:rFonts w:eastAsia="MS Mincho"/>
        </w:rPr>
      </w:pPr>
      <w:r w:rsidRPr="00E066A9">
        <w:rPr>
          <w:rFonts w:eastAsia="MS Mincho"/>
        </w:rPr>
        <w:t>Desai, G. M. 1982. Sustaining Rapid Growth in India's Fertilizer Consumption: A Perspective Based on Composition of Use. International Food Policy Research Institute (IFPRI) Research Report 031. Washington DC.</w:t>
      </w:r>
    </w:p>
    <w:p w:rsidR="00673CEF" w:rsidRDefault="006D161D" w:rsidP="005B21A4">
      <w:pPr>
        <w:autoSpaceDE w:val="0"/>
        <w:autoSpaceDN w:val="0"/>
        <w:adjustRightInd w:val="0"/>
        <w:spacing w:after="0" w:line="480" w:lineRule="auto"/>
        <w:rPr>
          <w:rFonts w:ascii="Times New Roman" w:hAnsi="Times New Roman" w:cs="Times New Roman"/>
          <w:bCs/>
          <w:sz w:val="24"/>
          <w:szCs w:val="24"/>
        </w:rPr>
      </w:pPr>
      <w:r w:rsidRPr="00664264">
        <w:rPr>
          <w:sz w:val="24"/>
          <w:szCs w:val="24"/>
        </w:rPr>
        <w:t xml:space="preserve">Desai, </w:t>
      </w:r>
      <w:proofErr w:type="spellStart"/>
      <w:r w:rsidRPr="00664264">
        <w:rPr>
          <w:sz w:val="24"/>
          <w:szCs w:val="24"/>
        </w:rPr>
        <w:t>Bhupat</w:t>
      </w:r>
      <w:proofErr w:type="spellEnd"/>
      <w:r w:rsidRPr="00664264">
        <w:rPr>
          <w:sz w:val="24"/>
          <w:szCs w:val="24"/>
        </w:rPr>
        <w:t xml:space="preserve"> and John W. Mellor (1998) </w:t>
      </w:r>
      <w:r w:rsidRPr="00664264">
        <w:rPr>
          <w:rFonts w:ascii="Times New Roman" w:hAnsi="Times New Roman" w:cs="Times New Roman"/>
          <w:bCs/>
          <w:sz w:val="24"/>
          <w:szCs w:val="24"/>
          <w:u w:val="single"/>
        </w:rPr>
        <w:t xml:space="preserve">Institutional Finance </w:t>
      </w:r>
      <w:r w:rsidR="00664264" w:rsidRPr="00664264">
        <w:rPr>
          <w:rFonts w:ascii="Times New Roman" w:hAnsi="Times New Roman" w:cs="Times New Roman"/>
          <w:bCs/>
          <w:sz w:val="24"/>
          <w:szCs w:val="24"/>
          <w:u w:val="single"/>
        </w:rPr>
        <w:t>for</w:t>
      </w:r>
      <w:r w:rsidRPr="00664264">
        <w:rPr>
          <w:rFonts w:ascii="Times New Roman" w:hAnsi="Times New Roman" w:cs="Times New Roman"/>
          <w:bCs/>
          <w:sz w:val="24"/>
          <w:szCs w:val="24"/>
          <w:u w:val="single"/>
        </w:rPr>
        <w:t xml:space="preserve"> Agricultural Development - </w:t>
      </w:r>
      <w:r w:rsidRPr="00664264">
        <w:rPr>
          <w:rFonts w:ascii="Times New Roman" w:hAnsi="Times New Roman" w:cs="Times New Roman"/>
          <w:sz w:val="24"/>
          <w:szCs w:val="24"/>
          <w:u w:val="single"/>
        </w:rPr>
        <w:t>An Analytical Survey of Critical Issues,</w:t>
      </w:r>
      <w:r w:rsidRPr="00664264">
        <w:rPr>
          <w:rFonts w:ascii="Times New Roman" w:hAnsi="Times New Roman" w:cs="Times New Roman"/>
          <w:sz w:val="24"/>
          <w:szCs w:val="24"/>
        </w:rPr>
        <w:t xml:space="preserve"> International Food Policy Research Institute, Policy Review Paper 1, Washington D.C.</w:t>
      </w:r>
    </w:p>
    <w:p w:rsidR="00673CEF" w:rsidRDefault="00673CEF" w:rsidP="005B21A4">
      <w:pPr>
        <w:autoSpaceDE w:val="0"/>
        <w:autoSpaceDN w:val="0"/>
        <w:adjustRightInd w:val="0"/>
        <w:spacing w:after="0" w:line="480" w:lineRule="auto"/>
        <w:rPr>
          <w:rFonts w:ascii="Times New Roman" w:hAnsi="Times New Roman" w:cs="Times New Roman"/>
          <w:bCs/>
          <w:sz w:val="24"/>
          <w:szCs w:val="24"/>
        </w:rPr>
      </w:pPr>
    </w:p>
    <w:p w:rsidR="00D645BE" w:rsidRDefault="007722FD" w:rsidP="005B21A4">
      <w:pPr>
        <w:autoSpaceDE w:val="0"/>
        <w:autoSpaceDN w:val="0"/>
        <w:adjustRightInd w:val="0"/>
        <w:spacing w:after="0" w:line="480" w:lineRule="auto"/>
        <w:rPr>
          <w:rFonts w:ascii="Times New Roman" w:hAnsi="Times New Roman" w:cs="Times New Roman"/>
          <w:bCs/>
          <w:sz w:val="24"/>
          <w:szCs w:val="24"/>
        </w:rPr>
      </w:pPr>
      <w:proofErr w:type="spellStart"/>
      <w:r w:rsidRPr="00664264">
        <w:rPr>
          <w:sz w:val="24"/>
          <w:szCs w:val="24"/>
          <w:lang w:val="en-GB"/>
        </w:rPr>
        <w:t>Dorosh</w:t>
      </w:r>
      <w:proofErr w:type="spellEnd"/>
      <w:r w:rsidRPr="00664264">
        <w:rPr>
          <w:sz w:val="24"/>
          <w:szCs w:val="24"/>
          <w:lang w:val="en-GB"/>
        </w:rPr>
        <w:t>, Paul and John W. Mellor (2011)</w:t>
      </w:r>
      <w:r w:rsidR="00BA7AC6" w:rsidRPr="00664264">
        <w:rPr>
          <w:b/>
          <w:sz w:val="24"/>
          <w:szCs w:val="24"/>
          <w:lang w:val="en-GB"/>
        </w:rPr>
        <w:t xml:space="preserve"> </w:t>
      </w:r>
      <w:r w:rsidRPr="00664264">
        <w:rPr>
          <w:sz w:val="24"/>
          <w:szCs w:val="24"/>
          <w:lang w:val="en-GB"/>
        </w:rPr>
        <w:t>Why Agriculture Remains a Viable Means of Poverty Redu</w:t>
      </w:r>
      <w:r w:rsidR="00BA7AC6" w:rsidRPr="00664264">
        <w:rPr>
          <w:sz w:val="24"/>
          <w:szCs w:val="24"/>
          <w:lang w:val="en-GB"/>
        </w:rPr>
        <w:t>c</w:t>
      </w:r>
      <w:r w:rsidRPr="00664264">
        <w:rPr>
          <w:sz w:val="24"/>
          <w:szCs w:val="24"/>
          <w:lang w:val="en-GB"/>
        </w:rPr>
        <w:t xml:space="preserve">tion in Sub-Saharan Africa:  The Case of Ethiopia, </w:t>
      </w:r>
      <w:r w:rsidRPr="00664264">
        <w:rPr>
          <w:sz w:val="24"/>
          <w:szCs w:val="24"/>
          <w:u w:val="single"/>
          <w:lang w:val="en-GB"/>
        </w:rPr>
        <w:t>Development Policy Review</w:t>
      </w:r>
    </w:p>
    <w:p w:rsidR="00D645BE" w:rsidRDefault="00D645BE" w:rsidP="005B21A4">
      <w:pPr>
        <w:autoSpaceDE w:val="0"/>
        <w:autoSpaceDN w:val="0"/>
        <w:adjustRightInd w:val="0"/>
        <w:spacing w:after="0" w:line="480" w:lineRule="auto"/>
        <w:rPr>
          <w:rFonts w:ascii="Times New Roman" w:hAnsi="Times New Roman" w:cs="Times New Roman"/>
          <w:bCs/>
          <w:sz w:val="24"/>
          <w:szCs w:val="24"/>
        </w:rPr>
      </w:pPr>
    </w:p>
    <w:p w:rsidR="009158A2" w:rsidRDefault="009158A2" w:rsidP="005B21A4">
      <w:pPr>
        <w:autoSpaceDE w:val="0"/>
        <w:autoSpaceDN w:val="0"/>
        <w:adjustRightInd w:val="0"/>
        <w:spacing w:after="0" w:line="480" w:lineRule="auto"/>
        <w:rPr>
          <w:sz w:val="24"/>
          <w:szCs w:val="24"/>
        </w:rPr>
      </w:pPr>
      <w:r w:rsidRPr="00664264">
        <w:rPr>
          <w:sz w:val="24"/>
          <w:szCs w:val="24"/>
        </w:rPr>
        <w:t xml:space="preserve">Ethiopia, government of (2010), </w:t>
      </w:r>
      <w:r w:rsidRPr="00664264">
        <w:rPr>
          <w:sz w:val="24"/>
          <w:szCs w:val="24"/>
          <w:u w:val="single"/>
        </w:rPr>
        <w:t xml:space="preserve">Ethiopia’s Agriculture Sector Policy and Investment Framework (PIF): Ten Year Road Map (2010-2020) </w:t>
      </w:r>
      <w:r w:rsidRPr="00664264">
        <w:rPr>
          <w:i/>
          <w:sz w:val="24"/>
          <w:szCs w:val="24"/>
          <w:u w:val="single"/>
        </w:rPr>
        <w:t>Main Report</w:t>
      </w:r>
      <w:r w:rsidR="007722FD" w:rsidRPr="00664264">
        <w:rPr>
          <w:sz w:val="24"/>
          <w:szCs w:val="24"/>
        </w:rPr>
        <w:t>, Addis Ababa</w:t>
      </w:r>
    </w:p>
    <w:p w:rsidR="00751D90" w:rsidRPr="00D645BE" w:rsidRDefault="00751D90" w:rsidP="005B21A4">
      <w:pPr>
        <w:autoSpaceDE w:val="0"/>
        <w:autoSpaceDN w:val="0"/>
        <w:adjustRightInd w:val="0"/>
        <w:spacing w:after="0" w:line="480" w:lineRule="auto"/>
        <w:rPr>
          <w:rFonts w:ascii="Times New Roman" w:hAnsi="Times New Roman" w:cs="Times New Roman"/>
          <w:bCs/>
          <w:sz w:val="24"/>
          <w:szCs w:val="24"/>
        </w:rPr>
      </w:pPr>
    </w:p>
    <w:p w:rsidR="008E0597" w:rsidRDefault="009158A2" w:rsidP="005B21A4">
      <w:pPr>
        <w:spacing w:line="480" w:lineRule="auto"/>
        <w:rPr>
          <w:rFonts w:eastAsia="MS Mincho"/>
          <w:sz w:val="24"/>
          <w:szCs w:val="24"/>
          <w:lang w:val="en-GB"/>
        </w:rPr>
      </w:pPr>
      <w:r w:rsidRPr="00664264">
        <w:rPr>
          <w:rFonts w:eastAsia="MS Mincho"/>
          <w:sz w:val="24"/>
          <w:szCs w:val="24"/>
          <w:lang w:val="en-GB"/>
        </w:rPr>
        <w:t xml:space="preserve">Ethiopia, Government of, 2009. </w:t>
      </w:r>
      <w:r w:rsidRPr="00664264">
        <w:rPr>
          <w:rFonts w:eastAsia="MS Mincho"/>
          <w:sz w:val="24"/>
          <w:szCs w:val="24"/>
          <w:u w:val="single"/>
          <w:lang w:val="en-GB"/>
        </w:rPr>
        <w:t>Comprehensive Africa Agriculture Development Plan (CAADP), Ethiopia Study, Main Report</w:t>
      </w:r>
      <w:r w:rsidRPr="00664264">
        <w:rPr>
          <w:rFonts w:eastAsia="MS Mincho"/>
          <w:sz w:val="24"/>
          <w:szCs w:val="24"/>
          <w:lang w:val="en-GB"/>
        </w:rPr>
        <w:t>, Ministry of Agriculture, Addis Ababa.</w:t>
      </w:r>
    </w:p>
    <w:p w:rsidR="00293178" w:rsidRDefault="00293178" w:rsidP="005B21A4">
      <w:pPr>
        <w:autoSpaceDE w:val="0"/>
        <w:autoSpaceDN w:val="0"/>
        <w:adjustRightInd w:val="0"/>
        <w:spacing w:line="480" w:lineRule="auto"/>
        <w:ind w:left="720" w:hanging="720"/>
        <w:rPr>
          <w:rFonts w:eastAsia="MS Mincho"/>
          <w:lang w:val="en-GB"/>
        </w:rPr>
      </w:pPr>
      <w:proofErr w:type="spellStart"/>
      <w:r>
        <w:rPr>
          <w:rFonts w:eastAsia="MS Mincho"/>
          <w:lang w:val="en-GB"/>
        </w:rPr>
        <w:t>Gavian</w:t>
      </w:r>
      <w:proofErr w:type="spellEnd"/>
      <w:r>
        <w:rPr>
          <w:rFonts w:eastAsia="MS Mincho"/>
          <w:lang w:val="en-GB"/>
        </w:rPr>
        <w:t>, S., T. El-</w:t>
      </w:r>
      <w:proofErr w:type="spellStart"/>
      <w:r>
        <w:rPr>
          <w:rFonts w:eastAsia="MS Mincho"/>
          <w:lang w:val="en-GB"/>
        </w:rPr>
        <w:t>Meehy</w:t>
      </w:r>
      <w:proofErr w:type="spellEnd"/>
      <w:r>
        <w:rPr>
          <w:rFonts w:eastAsia="MS Mincho"/>
          <w:lang w:val="en-GB"/>
        </w:rPr>
        <w:t xml:space="preserve">, L. Bulbul, G. Ender. 2002. "The Importance of Agricultural Growth to SME Development and Rural Employment in Egypt." MVE Unit, APRP, Special Study No. 5, </w:t>
      </w:r>
      <w:proofErr w:type="spellStart"/>
      <w:r>
        <w:rPr>
          <w:rFonts w:eastAsia="MS Mincho"/>
          <w:lang w:val="en-GB"/>
        </w:rPr>
        <w:t>Abt</w:t>
      </w:r>
      <w:proofErr w:type="spellEnd"/>
      <w:r>
        <w:rPr>
          <w:rFonts w:eastAsia="MS Mincho"/>
          <w:lang w:val="en-GB"/>
        </w:rPr>
        <w:t xml:space="preserve"> Associates Bethesda, Maryland</w:t>
      </w:r>
    </w:p>
    <w:p w:rsidR="00293178" w:rsidRDefault="00293178" w:rsidP="005B21A4">
      <w:pPr>
        <w:autoSpaceDE w:val="0"/>
        <w:autoSpaceDN w:val="0"/>
        <w:adjustRightInd w:val="0"/>
        <w:spacing w:line="480" w:lineRule="auto"/>
        <w:ind w:left="720" w:hanging="720"/>
        <w:rPr>
          <w:rFonts w:eastAsia="MS Mincho"/>
          <w:lang w:val="en-GB"/>
        </w:rPr>
      </w:pPr>
      <w:r>
        <w:rPr>
          <w:rFonts w:eastAsia="MS Mincho"/>
          <w:lang w:val="en-GB"/>
        </w:rPr>
        <w:lastRenderedPageBreak/>
        <w:t xml:space="preserve">Hazell, P. B. R. and A. </w:t>
      </w:r>
      <w:proofErr w:type="spellStart"/>
      <w:r>
        <w:rPr>
          <w:rFonts w:eastAsia="MS Mincho"/>
          <w:lang w:val="en-GB"/>
        </w:rPr>
        <w:t>Roell</w:t>
      </w:r>
      <w:proofErr w:type="spellEnd"/>
      <w:r>
        <w:rPr>
          <w:rFonts w:eastAsia="MS Mincho"/>
          <w:lang w:val="en-GB"/>
        </w:rPr>
        <w:t>. 1983. Rural Growth Linkages: Household Expenditures Patterns in Malaysia and Nigeria. Research Report No. 41, International Food Policy Research Institute, Washington D.C</w:t>
      </w:r>
    </w:p>
    <w:p w:rsidR="00293178" w:rsidRDefault="009158A2" w:rsidP="005B21A4">
      <w:pPr>
        <w:spacing w:line="480" w:lineRule="auto"/>
        <w:rPr>
          <w:sz w:val="24"/>
          <w:szCs w:val="24"/>
        </w:rPr>
      </w:pPr>
      <w:r w:rsidRPr="00664264">
        <w:rPr>
          <w:sz w:val="24"/>
          <w:szCs w:val="24"/>
        </w:rPr>
        <w:t xml:space="preserve">Kuma, </w:t>
      </w:r>
      <w:proofErr w:type="spellStart"/>
      <w:r w:rsidR="00664264" w:rsidRPr="00664264">
        <w:rPr>
          <w:sz w:val="24"/>
          <w:szCs w:val="24"/>
        </w:rPr>
        <w:t>Tadesse</w:t>
      </w:r>
      <w:proofErr w:type="spellEnd"/>
      <w:r w:rsidR="00664264" w:rsidRPr="00664264">
        <w:rPr>
          <w:sz w:val="24"/>
          <w:szCs w:val="24"/>
        </w:rPr>
        <w:t xml:space="preserve"> (</w:t>
      </w:r>
      <w:r w:rsidR="00080BAA">
        <w:rPr>
          <w:sz w:val="24"/>
          <w:szCs w:val="24"/>
        </w:rPr>
        <w:t>2014</w:t>
      </w:r>
      <w:r w:rsidRPr="00664264">
        <w:rPr>
          <w:sz w:val="24"/>
          <w:szCs w:val="24"/>
        </w:rPr>
        <w:t xml:space="preserve">) </w:t>
      </w:r>
      <w:r w:rsidRPr="00664264">
        <w:rPr>
          <w:sz w:val="24"/>
          <w:szCs w:val="24"/>
          <w:u w:val="single"/>
        </w:rPr>
        <w:t>Agriculture and Food Price Policy: The Effect of Recent Subsidy and Export Ban Policies on the Production and Consumption of Wheat and Maize in Ethiopia</w:t>
      </w:r>
      <w:r w:rsidR="00080BAA">
        <w:rPr>
          <w:sz w:val="24"/>
          <w:szCs w:val="24"/>
        </w:rPr>
        <w:t xml:space="preserve">, paper </w:t>
      </w:r>
      <w:r w:rsidR="00BA7AC6" w:rsidRPr="00664264">
        <w:rPr>
          <w:sz w:val="24"/>
          <w:szCs w:val="24"/>
        </w:rPr>
        <w:t xml:space="preserve">presented </w:t>
      </w:r>
      <w:r w:rsidR="00080BAA">
        <w:rPr>
          <w:sz w:val="24"/>
          <w:szCs w:val="24"/>
        </w:rPr>
        <w:t>a</w:t>
      </w:r>
      <w:r w:rsidR="00BA7AC6" w:rsidRPr="00664264">
        <w:rPr>
          <w:sz w:val="24"/>
          <w:szCs w:val="24"/>
        </w:rPr>
        <w:t xml:space="preserve">t </w:t>
      </w:r>
      <w:r w:rsidR="00664264" w:rsidRPr="00664264">
        <w:rPr>
          <w:sz w:val="24"/>
          <w:szCs w:val="24"/>
        </w:rPr>
        <w:t>Agricultural</w:t>
      </w:r>
      <w:r w:rsidR="00BA7AC6" w:rsidRPr="00664264">
        <w:rPr>
          <w:sz w:val="24"/>
          <w:szCs w:val="24"/>
        </w:rPr>
        <w:t xml:space="preserve"> Prices Semi</w:t>
      </w:r>
      <w:r w:rsidRPr="00664264">
        <w:rPr>
          <w:sz w:val="24"/>
          <w:szCs w:val="24"/>
        </w:rPr>
        <w:t>nar, A</w:t>
      </w:r>
      <w:r w:rsidR="00BA7AC6" w:rsidRPr="00664264">
        <w:rPr>
          <w:sz w:val="24"/>
          <w:szCs w:val="24"/>
        </w:rPr>
        <w:t>d</w:t>
      </w:r>
      <w:r w:rsidRPr="00664264">
        <w:rPr>
          <w:sz w:val="24"/>
          <w:szCs w:val="24"/>
        </w:rPr>
        <w:t>dis Ababa,</w:t>
      </w:r>
      <w:r w:rsidR="00BA7AC6" w:rsidRPr="00664264">
        <w:rPr>
          <w:sz w:val="24"/>
          <w:szCs w:val="24"/>
        </w:rPr>
        <w:t xml:space="preserve"> </w:t>
      </w:r>
      <w:r w:rsidRPr="00664264">
        <w:rPr>
          <w:sz w:val="24"/>
          <w:szCs w:val="24"/>
        </w:rPr>
        <w:t>June 2014</w:t>
      </w:r>
      <w:r w:rsidR="00080BAA">
        <w:rPr>
          <w:sz w:val="24"/>
          <w:szCs w:val="24"/>
        </w:rPr>
        <w:t>, to be published</w:t>
      </w:r>
    </w:p>
    <w:p w:rsidR="00293178" w:rsidRDefault="00293178" w:rsidP="005B21A4">
      <w:pPr>
        <w:spacing w:line="480" w:lineRule="auto"/>
        <w:ind w:left="720" w:hanging="720"/>
        <w:rPr>
          <w:lang w:val="en-GB"/>
        </w:rPr>
      </w:pPr>
      <w:proofErr w:type="spellStart"/>
      <w:r>
        <w:rPr>
          <w:lang w:val="en-GB"/>
        </w:rPr>
        <w:t>Liedholm</w:t>
      </w:r>
      <w:proofErr w:type="spellEnd"/>
      <w:r>
        <w:rPr>
          <w:lang w:val="en-GB"/>
        </w:rPr>
        <w:t xml:space="preserve">, C., and D. Meade, 1987. “Small Scale Industries in Developing Countries: Empirical Evidence and Policy Implications.” International Development Papers, Department of Agricultural Economics, Michigan State University, East Lansing. </w:t>
      </w:r>
      <w:r>
        <w:rPr>
          <w:lang w:val="en-GB"/>
        </w:rPr>
        <w:tab/>
      </w:r>
    </w:p>
    <w:p w:rsidR="00293178" w:rsidRDefault="00293178" w:rsidP="005B21A4">
      <w:pPr>
        <w:spacing w:line="480" w:lineRule="auto"/>
        <w:ind w:left="720" w:hanging="720"/>
        <w:rPr>
          <w:lang w:val="en-GB"/>
        </w:rPr>
      </w:pPr>
      <w:r>
        <w:rPr>
          <w:bCs/>
          <w:lang w:val="en-GB"/>
        </w:rPr>
        <w:t xml:space="preserve">Mead, D., and C. </w:t>
      </w:r>
      <w:proofErr w:type="spellStart"/>
      <w:r>
        <w:rPr>
          <w:bCs/>
          <w:lang w:val="en-GB"/>
        </w:rPr>
        <w:t>Liedholm</w:t>
      </w:r>
      <w:proofErr w:type="spellEnd"/>
      <w:r>
        <w:rPr>
          <w:bCs/>
          <w:lang w:val="en-GB"/>
        </w:rPr>
        <w:t>. 1998.</w:t>
      </w:r>
      <w:r>
        <w:rPr>
          <w:lang w:val="en-GB"/>
        </w:rPr>
        <w:t xml:space="preserve"> “The Dynamics of Micro and Small Enterprises in Developing Countries.” </w:t>
      </w:r>
      <w:r>
        <w:rPr>
          <w:i/>
          <w:iCs/>
          <w:lang w:val="en-GB"/>
        </w:rPr>
        <w:t>World Development</w:t>
      </w:r>
      <w:r>
        <w:rPr>
          <w:lang w:val="en-GB"/>
        </w:rPr>
        <w:t>. 26: 61-74.</w:t>
      </w:r>
    </w:p>
    <w:p w:rsidR="00293178" w:rsidRPr="00863C14" w:rsidRDefault="004A53BF" w:rsidP="005B21A4">
      <w:pPr>
        <w:spacing w:line="480" w:lineRule="auto"/>
      </w:pPr>
      <w:r>
        <w:rPr>
          <w:sz w:val="24"/>
          <w:szCs w:val="24"/>
        </w:rPr>
        <w:t xml:space="preserve">Mellor, John W. </w:t>
      </w:r>
      <w:proofErr w:type="gramStart"/>
      <w:r>
        <w:rPr>
          <w:sz w:val="24"/>
          <w:szCs w:val="24"/>
        </w:rPr>
        <w:t xml:space="preserve">and </w:t>
      </w:r>
      <w:r w:rsidR="00863C14">
        <w:rPr>
          <w:sz w:val="24"/>
          <w:szCs w:val="24"/>
        </w:rPr>
        <w:t xml:space="preserve"> </w:t>
      </w:r>
      <w:proofErr w:type="spellStart"/>
      <w:r w:rsidR="00863C14">
        <w:t>Tadesse</w:t>
      </w:r>
      <w:proofErr w:type="spellEnd"/>
      <w:proofErr w:type="gramEnd"/>
      <w:r w:rsidR="00863C14">
        <w:t xml:space="preserve"> </w:t>
      </w:r>
      <w:proofErr w:type="spellStart"/>
      <w:r w:rsidR="00863C14">
        <w:t>Kumro</w:t>
      </w:r>
      <w:proofErr w:type="spellEnd"/>
      <w:r w:rsidR="00863C14">
        <w:t>. 2014.</w:t>
      </w:r>
      <w:r w:rsidR="00863C14">
        <w:rPr>
          <w:sz w:val="24"/>
          <w:szCs w:val="24"/>
        </w:rPr>
        <w:t xml:space="preserve"> “How in an Open Economy Does Increased Production of Cereals by the Rural Well-to-do Translate into Increased Food Security for the Rural Poor</w:t>
      </w:r>
      <w:r w:rsidR="00863C14">
        <w:t>, manuscript, available from John Mellor Associates Inc.(jmellor@jmassocinc.com.)</w:t>
      </w:r>
    </w:p>
    <w:p w:rsidR="009158A2" w:rsidRDefault="009158A2" w:rsidP="005B21A4">
      <w:pPr>
        <w:spacing w:line="480" w:lineRule="auto"/>
        <w:rPr>
          <w:rFonts w:eastAsia="MS Mincho"/>
          <w:sz w:val="24"/>
          <w:szCs w:val="24"/>
          <w:lang w:val="en-GB"/>
        </w:rPr>
      </w:pPr>
      <w:r w:rsidRPr="00664264">
        <w:rPr>
          <w:rFonts w:eastAsia="MS Mincho"/>
          <w:sz w:val="24"/>
          <w:szCs w:val="24"/>
          <w:lang w:val="en-GB"/>
        </w:rPr>
        <w:t xml:space="preserve">Mellor, John W.1992. </w:t>
      </w:r>
      <w:r w:rsidRPr="00664264">
        <w:rPr>
          <w:rFonts w:eastAsia="MS Mincho"/>
          <w:sz w:val="24"/>
          <w:szCs w:val="24"/>
          <w:u w:val="single"/>
          <w:lang w:val="en-GB"/>
        </w:rPr>
        <w:t>Agriculture on the Road to Industrialization</w:t>
      </w:r>
      <w:r w:rsidRPr="00664264">
        <w:rPr>
          <w:rFonts w:eastAsia="MS Mincho"/>
          <w:sz w:val="24"/>
          <w:szCs w:val="24"/>
          <w:lang w:val="en-GB"/>
        </w:rPr>
        <w:t>. Johns Hopkin</w:t>
      </w:r>
      <w:r w:rsidR="00673CEF">
        <w:rPr>
          <w:rFonts w:eastAsia="MS Mincho"/>
          <w:sz w:val="24"/>
          <w:szCs w:val="24"/>
          <w:lang w:val="en-GB"/>
        </w:rPr>
        <w:t xml:space="preserve">s University </w:t>
      </w:r>
      <w:r w:rsidRPr="00664264">
        <w:rPr>
          <w:rFonts w:eastAsia="MS Mincho"/>
          <w:sz w:val="24"/>
          <w:szCs w:val="24"/>
          <w:lang w:val="en-GB"/>
        </w:rPr>
        <w:t>Press: Baltimore.</w:t>
      </w:r>
    </w:p>
    <w:p w:rsidR="00057F08" w:rsidRPr="00057F08" w:rsidRDefault="00057F08" w:rsidP="005B21A4">
      <w:pPr>
        <w:spacing w:line="480" w:lineRule="auto"/>
        <w:rPr>
          <w:sz w:val="24"/>
          <w:szCs w:val="24"/>
        </w:rPr>
      </w:pPr>
      <w:r>
        <w:rPr>
          <w:rFonts w:eastAsia="MS Mincho"/>
          <w:sz w:val="24"/>
          <w:szCs w:val="24"/>
          <w:lang w:val="en-GB"/>
        </w:rPr>
        <w:t xml:space="preserve">Mellor, John W. </w:t>
      </w:r>
      <w:r w:rsidR="00336D2F">
        <w:rPr>
          <w:rFonts w:eastAsia="MS Mincho"/>
          <w:sz w:val="24"/>
          <w:szCs w:val="24"/>
          <w:lang w:val="en-GB"/>
        </w:rPr>
        <w:t>(1968)</w:t>
      </w:r>
      <w:r>
        <w:rPr>
          <w:rFonts w:eastAsia="MS Mincho"/>
          <w:sz w:val="24"/>
          <w:szCs w:val="24"/>
          <w:lang w:val="en-GB"/>
        </w:rPr>
        <w:t xml:space="preserve">, </w:t>
      </w:r>
      <w:r>
        <w:rPr>
          <w:rFonts w:eastAsia="MS Mincho"/>
          <w:sz w:val="24"/>
          <w:szCs w:val="24"/>
          <w:u w:val="single"/>
          <w:lang w:val="en-GB"/>
        </w:rPr>
        <w:t>Developing Rural India,</w:t>
      </w:r>
      <w:r w:rsidR="00336D2F">
        <w:rPr>
          <w:rFonts w:eastAsia="MS Mincho"/>
          <w:sz w:val="24"/>
          <w:szCs w:val="24"/>
          <w:u w:val="single"/>
          <w:lang w:val="en-GB"/>
        </w:rPr>
        <w:t xml:space="preserve"> </w:t>
      </w:r>
      <w:r>
        <w:rPr>
          <w:rFonts w:eastAsia="MS Mincho"/>
          <w:sz w:val="24"/>
          <w:szCs w:val="24"/>
          <w:lang w:val="en-GB"/>
        </w:rPr>
        <w:t>Cornell University Press, Ithaca.</w:t>
      </w:r>
    </w:p>
    <w:p w:rsidR="00E56BFE" w:rsidRPr="00E56BFE" w:rsidRDefault="009158A2" w:rsidP="005B21A4">
      <w:pPr>
        <w:spacing w:after="120" w:line="480" w:lineRule="auto"/>
        <w:rPr>
          <w:rFonts w:asciiTheme="majorHAnsi" w:hAnsiTheme="majorHAnsi" w:cs="Arial"/>
          <w:color w:val="054932"/>
          <w:sz w:val="24"/>
          <w:szCs w:val="24"/>
        </w:rPr>
      </w:pPr>
      <w:proofErr w:type="spellStart"/>
      <w:r w:rsidRPr="00E56BFE">
        <w:rPr>
          <w:rFonts w:asciiTheme="majorHAnsi" w:hAnsiTheme="majorHAnsi" w:cs="Arial"/>
          <w:iCs/>
          <w:color w:val="7F7649"/>
          <w:sz w:val="24"/>
          <w:szCs w:val="24"/>
          <w:lang w:val="es-ES"/>
        </w:rPr>
        <w:t>Minten</w:t>
      </w:r>
      <w:proofErr w:type="spellEnd"/>
      <w:r w:rsidRPr="00E56BFE">
        <w:rPr>
          <w:rFonts w:asciiTheme="majorHAnsi" w:hAnsiTheme="majorHAnsi" w:cs="Arial"/>
          <w:iCs/>
          <w:color w:val="7F7649"/>
          <w:sz w:val="24"/>
          <w:szCs w:val="24"/>
          <w:lang w:val="es-ES"/>
        </w:rPr>
        <w:t>, Bart</w:t>
      </w:r>
      <w:r w:rsidR="00664264" w:rsidRPr="00E56BFE">
        <w:rPr>
          <w:rFonts w:asciiTheme="majorHAnsi" w:hAnsiTheme="majorHAnsi" w:cs="Arial"/>
          <w:iCs/>
          <w:color w:val="7F7649"/>
          <w:sz w:val="24"/>
          <w:szCs w:val="24"/>
          <w:lang w:val="es-ES"/>
        </w:rPr>
        <w:t>,</w:t>
      </w:r>
      <w:r w:rsidRPr="00E56BFE">
        <w:rPr>
          <w:rFonts w:asciiTheme="majorHAnsi" w:hAnsiTheme="majorHAnsi" w:cs="Arial"/>
          <w:iCs/>
          <w:color w:val="7F7649"/>
          <w:sz w:val="24"/>
          <w:szCs w:val="24"/>
          <w:lang w:val="es-ES"/>
        </w:rPr>
        <w:t xml:space="preserve"> </w:t>
      </w:r>
      <w:proofErr w:type="spellStart"/>
      <w:r w:rsidRPr="00E56BFE">
        <w:rPr>
          <w:rFonts w:asciiTheme="majorHAnsi" w:hAnsiTheme="majorHAnsi" w:cs="Arial"/>
          <w:iCs/>
          <w:color w:val="7F7649"/>
          <w:sz w:val="24"/>
          <w:szCs w:val="24"/>
          <w:lang w:val="es-ES"/>
        </w:rPr>
        <w:t>Seneshaw</w:t>
      </w:r>
      <w:proofErr w:type="spellEnd"/>
      <w:r w:rsidRPr="00E56BFE">
        <w:rPr>
          <w:rFonts w:asciiTheme="majorHAnsi" w:hAnsiTheme="majorHAnsi" w:cs="Arial"/>
          <w:iCs/>
          <w:color w:val="7F7649"/>
          <w:sz w:val="24"/>
          <w:szCs w:val="24"/>
          <w:lang w:val="es-ES"/>
        </w:rPr>
        <w:t xml:space="preserve"> </w:t>
      </w:r>
      <w:proofErr w:type="spellStart"/>
      <w:r w:rsidRPr="00E56BFE">
        <w:rPr>
          <w:rFonts w:asciiTheme="majorHAnsi" w:hAnsiTheme="majorHAnsi" w:cs="Arial"/>
          <w:iCs/>
          <w:color w:val="7F7649"/>
          <w:sz w:val="24"/>
          <w:szCs w:val="24"/>
          <w:lang w:val="es-ES"/>
        </w:rPr>
        <w:t>Tamru</w:t>
      </w:r>
      <w:proofErr w:type="spellEnd"/>
      <w:r w:rsidRPr="00E56BFE">
        <w:rPr>
          <w:rFonts w:asciiTheme="majorHAnsi" w:hAnsiTheme="majorHAnsi" w:cs="Arial"/>
          <w:iCs/>
          <w:color w:val="7F7649"/>
          <w:sz w:val="24"/>
          <w:szCs w:val="24"/>
          <w:lang w:val="es-ES"/>
        </w:rPr>
        <w:t xml:space="preserve">, </w:t>
      </w:r>
      <w:proofErr w:type="spellStart"/>
      <w:r w:rsidRPr="00E56BFE">
        <w:rPr>
          <w:rFonts w:asciiTheme="majorHAnsi" w:hAnsiTheme="majorHAnsi" w:cs="Arial"/>
          <w:iCs/>
          <w:color w:val="7F7649"/>
          <w:sz w:val="24"/>
          <w:szCs w:val="24"/>
          <w:lang w:val="es-ES"/>
        </w:rPr>
        <w:t>Ermias</w:t>
      </w:r>
      <w:proofErr w:type="spellEnd"/>
      <w:r w:rsidRPr="00E56BFE">
        <w:rPr>
          <w:rFonts w:asciiTheme="majorHAnsi" w:hAnsiTheme="majorHAnsi" w:cs="Arial"/>
          <w:iCs/>
          <w:color w:val="7F7649"/>
          <w:sz w:val="24"/>
          <w:szCs w:val="24"/>
          <w:lang w:val="es-ES"/>
        </w:rPr>
        <w:t xml:space="preserve"> </w:t>
      </w:r>
      <w:proofErr w:type="spellStart"/>
      <w:r w:rsidRPr="00E56BFE">
        <w:rPr>
          <w:rFonts w:asciiTheme="majorHAnsi" w:hAnsiTheme="majorHAnsi" w:cs="Arial"/>
          <w:iCs/>
          <w:color w:val="7F7649"/>
          <w:sz w:val="24"/>
          <w:szCs w:val="24"/>
          <w:lang w:val="es-ES"/>
        </w:rPr>
        <w:t>Engida</w:t>
      </w:r>
      <w:proofErr w:type="spellEnd"/>
      <w:r w:rsidRPr="00E56BFE">
        <w:rPr>
          <w:rFonts w:asciiTheme="majorHAnsi" w:hAnsiTheme="majorHAnsi" w:cs="Arial"/>
          <w:iCs/>
          <w:color w:val="7F7649"/>
          <w:sz w:val="24"/>
          <w:szCs w:val="24"/>
          <w:lang w:val="es-ES"/>
        </w:rPr>
        <w:t xml:space="preserve">, and </w:t>
      </w:r>
      <w:proofErr w:type="spellStart"/>
      <w:r w:rsidRPr="00E56BFE">
        <w:rPr>
          <w:rFonts w:asciiTheme="majorHAnsi" w:hAnsiTheme="majorHAnsi" w:cs="Arial"/>
          <w:iCs/>
          <w:color w:val="7F7649"/>
          <w:sz w:val="24"/>
          <w:szCs w:val="24"/>
          <w:lang w:val="es-ES"/>
        </w:rPr>
        <w:t>Tadesse</w:t>
      </w:r>
      <w:proofErr w:type="spellEnd"/>
      <w:r w:rsidRPr="00E56BFE">
        <w:rPr>
          <w:rFonts w:asciiTheme="majorHAnsi" w:hAnsiTheme="majorHAnsi" w:cs="Arial"/>
          <w:iCs/>
          <w:color w:val="7F7649"/>
          <w:sz w:val="24"/>
          <w:szCs w:val="24"/>
          <w:lang w:val="es-ES"/>
        </w:rPr>
        <w:t xml:space="preserve"> </w:t>
      </w:r>
      <w:proofErr w:type="spellStart"/>
      <w:r w:rsidRPr="00E56BFE">
        <w:rPr>
          <w:rFonts w:asciiTheme="majorHAnsi" w:hAnsiTheme="majorHAnsi" w:cs="Arial"/>
          <w:iCs/>
          <w:color w:val="7F7649"/>
          <w:sz w:val="24"/>
          <w:szCs w:val="24"/>
          <w:lang w:val="es-ES"/>
        </w:rPr>
        <w:t>Kuma</w:t>
      </w:r>
      <w:proofErr w:type="spellEnd"/>
      <w:r w:rsidRPr="00E56BFE">
        <w:rPr>
          <w:sz w:val="24"/>
          <w:szCs w:val="24"/>
        </w:rPr>
        <w:t xml:space="preserve"> (21012</w:t>
      </w:r>
      <w:r w:rsidR="00044CB3">
        <w:rPr>
          <w:sz w:val="24"/>
          <w:szCs w:val="24"/>
        </w:rPr>
        <w:t>c</w:t>
      </w:r>
      <w:r w:rsidRPr="00E56BFE">
        <w:rPr>
          <w:sz w:val="24"/>
          <w:szCs w:val="24"/>
        </w:rPr>
        <w:t xml:space="preserve">) </w:t>
      </w:r>
      <w:r w:rsidRPr="00E56BFE">
        <w:rPr>
          <w:rFonts w:asciiTheme="majorHAnsi" w:hAnsiTheme="majorHAnsi" w:cs="Arial"/>
          <w:color w:val="054932"/>
          <w:sz w:val="24"/>
          <w:szCs w:val="24"/>
          <w:u w:val="single"/>
        </w:rPr>
        <w:t xml:space="preserve">Using Evidence in Unraveling Food Supply Chains in Ethiopia: The Supply Chain of </w:t>
      </w:r>
      <w:proofErr w:type="spellStart"/>
      <w:r w:rsidRPr="00E56BFE">
        <w:rPr>
          <w:rFonts w:asciiTheme="majorHAnsi" w:hAnsiTheme="majorHAnsi" w:cs="Arial"/>
          <w:color w:val="054932"/>
          <w:sz w:val="24"/>
          <w:szCs w:val="24"/>
          <w:u w:val="single"/>
        </w:rPr>
        <w:t>Teff</w:t>
      </w:r>
      <w:proofErr w:type="spellEnd"/>
      <w:r w:rsidRPr="00E56BFE">
        <w:rPr>
          <w:rFonts w:asciiTheme="majorHAnsi" w:hAnsiTheme="majorHAnsi" w:cs="Arial"/>
          <w:color w:val="054932"/>
          <w:sz w:val="24"/>
          <w:szCs w:val="24"/>
          <w:u w:val="single"/>
        </w:rPr>
        <w:t xml:space="preserve"> from Major Production Areas to Addis Ababa</w:t>
      </w:r>
      <w:r w:rsidRPr="00E56BFE">
        <w:rPr>
          <w:rFonts w:asciiTheme="majorHAnsi" w:hAnsiTheme="majorHAnsi" w:cs="Arial"/>
          <w:color w:val="054932"/>
          <w:sz w:val="24"/>
          <w:szCs w:val="24"/>
        </w:rPr>
        <w:t>, ESSP paper, 2012, Addis Ababa</w:t>
      </w:r>
    </w:p>
    <w:p w:rsidR="0022585C" w:rsidRDefault="00AD5E22" w:rsidP="005B21A4">
      <w:pPr>
        <w:spacing w:line="480" w:lineRule="auto"/>
        <w:rPr>
          <w:sz w:val="24"/>
          <w:szCs w:val="24"/>
        </w:rPr>
      </w:pPr>
      <w:proofErr w:type="spellStart"/>
      <w:r>
        <w:lastRenderedPageBreak/>
        <w:t>Minten</w:t>
      </w:r>
      <w:proofErr w:type="spellEnd"/>
      <w:r>
        <w:t xml:space="preserve">, Bart, Bethlehem Koru, David </w:t>
      </w:r>
      <w:proofErr w:type="spellStart"/>
      <w:r>
        <w:t>Stifel</w:t>
      </w:r>
      <w:proofErr w:type="spellEnd"/>
      <w:r>
        <w:rPr>
          <w:b/>
          <w:sz w:val="24"/>
          <w:szCs w:val="24"/>
        </w:rPr>
        <w:t xml:space="preserve"> </w:t>
      </w:r>
      <w:r w:rsidRPr="00AD5E22">
        <w:rPr>
          <w:sz w:val="24"/>
          <w:szCs w:val="24"/>
        </w:rPr>
        <w:t>(2012</w:t>
      </w:r>
      <w:r w:rsidR="00044CB3">
        <w:rPr>
          <w:sz w:val="24"/>
          <w:szCs w:val="24"/>
        </w:rPr>
        <w:t>a</w:t>
      </w:r>
      <w:r w:rsidRPr="00AD5E22">
        <w:rPr>
          <w:sz w:val="24"/>
          <w:szCs w:val="24"/>
        </w:rPr>
        <w:t>)</w:t>
      </w:r>
      <w:r>
        <w:rPr>
          <w:sz w:val="24"/>
          <w:szCs w:val="24"/>
        </w:rPr>
        <w:t>,</w:t>
      </w:r>
      <w:r>
        <w:rPr>
          <w:b/>
          <w:sz w:val="24"/>
          <w:szCs w:val="24"/>
        </w:rPr>
        <w:t xml:space="preserve"> </w:t>
      </w:r>
      <w:r>
        <w:rPr>
          <w:sz w:val="24"/>
          <w:szCs w:val="24"/>
        </w:rPr>
        <w:t>The Last Mile(s) in Modern Input D</w:t>
      </w:r>
      <w:r w:rsidR="0022585C" w:rsidRPr="00AD5E22">
        <w:rPr>
          <w:sz w:val="24"/>
          <w:szCs w:val="24"/>
        </w:rPr>
        <w:t>istribution</w:t>
      </w:r>
      <w:r>
        <w:rPr>
          <w:sz w:val="24"/>
          <w:szCs w:val="24"/>
        </w:rPr>
        <w:t xml:space="preserve"> in</w:t>
      </w:r>
      <w:r w:rsidR="00D96A8E">
        <w:rPr>
          <w:sz w:val="24"/>
          <w:szCs w:val="24"/>
        </w:rPr>
        <w:t xml:space="preserve"> </w:t>
      </w:r>
      <w:r>
        <w:rPr>
          <w:sz w:val="24"/>
          <w:szCs w:val="24"/>
        </w:rPr>
        <w:t>Ethiopia</w:t>
      </w:r>
      <w:r w:rsidR="0022585C" w:rsidRPr="00AD5E22">
        <w:rPr>
          <w:sz w:val="24"/>
          <w:szCs w:val="24"/>
        </w:rPr>
        <w:t>,</w:t>
      </w:r>
      <w:r>
        <w:rPr>
          <w:sz w:val="24"/>
          <w:szCs w:val="24"/>
        </w:rPr>
        <w:t xml:space="preserve"> draft paper, International Food Policy Research Institute, ESSP, Addis Ababa.</w:t>
      </w:r>
    </w:p>
    <w:p w:rsidR="007F3930" w:rsidRDefault="007F3930" w:rsidP="005B21A4">
      <w:pPr>
        <w:spacing w:line="480" w:lineRule="auto"/>
        <w:rPr>
          <w:rFonts w:ascii="Times New Roman" w:hAnsi="Times New Roman" w:cs="Times New Roman"/>
          <w:b/>
          <w:sz w:val="24"/>
          <w:szCs w:val="24"/>
        </w:rPr>
      </w:pPr>
      <w:proofErr w:type="spellStart"/>
      <w:r w:rsidRPr="00C35BE6">
        <w:rPr>
          <w:rFonts w:ascii="Times New Roman" w:hAnsi="Times New Roman" w:cs="Times New Roman"/>
          <w:sz w:val="24"/>
          <w:szCs w:val="24"/>
        </w:rPr>
        <w:t>Minten</w:t>
      </w:r>
      <w:proofErr w:type="spellEnd"/>
      <w:r w:rsidRPr="00C35BE6">
        <w:rPr>
          <w:rFonts w:ascii="Times New Roman" w:hAnsi="Times New Roman" w:cs="Times New Roman"/>
          <w:sz w:val="24"/>
          <w:szCs w:val="24"/>
        </w:rPr>
        <w:t xml:space="preserve">, </w:t>
      </w:r>
      <w:r>
        <w:rPr>
          <w:rFonts w:ascii="Times New Roman" w:hAnsi="Times New Roman" w:cs="Times New Roman"/>
          <w:sz w:val="24"/>
          <w:szCs w:val="24"/>
        </w:rPr>
        <w:t xml:space="preserve">Bart, </w:t>
      </w:r>
      <w:r w:rsidRPr="00C35BE6">
        <w:rPr>
          <w:rFonts w:ascii="Times New Roman" w:hAnsi="Times New Roman" w:cs="Times New Roman"/>
          <w:sz w:val="24"/>
          <w:szCs w:val="24"/>
        </w:rPr>
        <w:t xml:space="preserve">David </w:t>
      </w:r>
      <w:proofErr w:type="spellStart"/>
      <w:r w:rsidRPr="00C35BE6">
        <w:rPr>
          <w:rFonts w:ascii="Times New Roman" w:hAnsi="Times New Roman" w:cs="Times New Roman"/>
          <w:sz w:val="24"/>
          <w:szCs w:val="24"/>
        </w:rPr>
        <w:t>Stifel</w:t>
      </w:r>
      <w:proofErr w:type="spellEnd"/>
      <w:r w:rsidRPr="00C35BE6">
        <w:rPr>
          <w:rFonts w:ascii="Times New Roman" w:hAnsi="Times New Roman" w:cs="Times New Roman"/>
          <w:sz w:val="24"/>
          <w:szCs w:val="24"/>
        </w:rPr>
        <w:t>, Lafayette College</w:t>
      </w:r>
      <w:r>
        <w:rPr>
          <w:rFonts w:ascii="Times New Roman" w:hAnsi="Times New Roman" w:cs="Times New Roman"/>
          <w:sz w:val="24"/>
          <w:szCs w:val="24"/>
        </w:rPr>
        <w:t xml:space="preserve">, </w:t>
      </w:r>
      <w:proofErr w:type="spellStart"/>
      <w:r w:rsidRPr="00C35BE6">
        <w:rPr>
          <w:rFonts w:ascii="Times New Roman" w:hAnsi="Times New Roman" w:cs="Times New Roman"/>
          <w:sz w:val="24"/>
          <w:szCs w:val="24"/>
        </w:rPr>
        <w:t>Seneshaw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Tamiru</w:t>
      </w:r>
      <w:proofErr w:type="spellEnd"/>
      <w:r>
        <w:rPr>
          <w:rFonts w:ascii="Times New Roman" w:hAnsi="Times New Roman" w:cs="Times New Roman"/>
          <w:sz w:val="24"/>
          <w:szCs w:val="24"/>
        </w:rPr>
        <w:t>, (2012</w:t>
      </w:r>
      <w:r w:rsidR="00044CB3">
        <w:rPr>
          <w:rFonts w:ascii="Times New Roman" w:hAnsi="Times New Roman" w:cs="Times New Roman"/>
          <w:sz w:val="24"/>
          <w:szCs w:val="24"/>
        </w:rPr>
        <w:t>b</w:t>
      </w:r>
      <w:r>
        <w:rPr>
          <w:rFonts w:ascii="Times New Roman" w:hAnsi="Times New Roman" w:cs="Times New Roman"/>
          <w:sz w:val="24"/>
          <w:szCs w:val="24"/>
        </w:rPr>
        <w:t xml:space="preserve">), </w:t>
      </w:r>
      <w:r w:rsidRPr="00D17326">
        <w:rPr>
          <w:rFonts w:ascii="Times New Roman" w:hAnsi="Times New Roman" w:cs="Times New Roman"/>
          <w:sz w:val="24"/>
          <w:szCs w:val="24"/>
          <w:u w:val="single"/>
        </w:rPr>
        <w:t>Structural Transformation in Ethiopia: Evidence from Cereal Markets,</w:t>
      </w:r>
      <w:r>
        <w:rPr>
          <w:rFonts w:ascii="Times New Roman" w:hAnsi="Times New Roman" w:cs="Times New Roman"/>
          <w:sz w:val="24"/>
          <w:szCs w:val="24"/>
        </w:rPr>
        <w:t xml:space="preserve"> Draft Paper, International Food Policy </w:t>
      </w:r>
      <w:r w:rsidR="00A2662A">
        <w:rPr>
          <w:rFonts w:ascii="Times New Roman" w:hAnsi="Times New Roman" w:cs="Times New Roman"/>
          <w:sz w:val="24"/>
          <w:szCs w:val="24"/>
        </w:rPr>
        <w:t xml:space="preserve">Research Institute, ESSP Program, </w:t>
      </w:r>
      <w:proofErr w:type="gramStart"/>
      <w:r>
        <w:rPr>
          <w:rFonts w:ascii="Times New Roman" w:hAnsi="Times New Roman" w:cs="Times New Roman"/>
          <w:sz w:val="24"/>
          <w:szCs w:val="24"/>
        </w:rPr>
        <w:t>Addis</w:t>
      </w:r>
      <w:proofErr w:type="gramEnd"/>
      <w:r>
        <w:rPr>
          <w:rFonts w:ascii="Times New Roman" w:hAnsi="Times New Roman" w:cs="Times New Roman"/>
          <w:sz w:val="24"/>
          <w:szCs w:val="24"/>
        </w:rPr>
        <w:t xml:space="preserve"> Ababa</w:t>
      </w:r>
      <w:r>
        <w:rPr>
          <w:rFonts w:ascii="Times New Roman" w:hAnsi="Times New Roman" w:cs="Times New Roman"/>
          <w:b/>
          <w:sz w:val="24"/>
          <w:szCs w:val="24"/>
        </w:rPr>
        <w:t xml:space="preserve"> </w:t>
      </w:r>
    </w:p>
    <w:p w:rsidR="00D645BE" w:rsidRDefault="009158A2" w:rsidP="005B21A4">
      <w:pPr>
        <w:spacing w:line="480" w:lineRule="auto"/>
        <w:rPr>
          <w:rFonts w:eastAsia="MS Mincho"/>
          <w:sz w:val="24"/>
          <w:szCs w:val="24"/>
          <w:lang w:val="en-GB"/>
        </w:rPr>
      </w:pPr>
      <w:proofErr w:type="spellStart"/>
      <w:r w:rsidRPr="00664264">
        <w:rPr>
          <w:rFonts w:eastAsia="MS Mincho"/>
          <w:sz w:val="24"/>
          <w:szCs w:val="24"/>
          <w:lang w:val="en-GB"/>
        </w:rPr>
        <w:t>Ravallion</w:t>
      </w:r>
      <w:proofErr w:type="spellEnd"/>
      <w:r w:rsidRPr="00664264">
        <w:rPr>
          <w:rFonts w:eastAsia="MS Mincho"/>
          <w:sz w:val="24"/>
          <w:szCs w:val="24"/>
          <w:lang w:val="en-GB"/>
        </w:rPr>
        <w:t xml:space="preserve">, M., and G. </w:t>
      </w:r>
      <w:proofErr w:type="spellStart"/>
      <w:r w:rsidRPr="00664264">
        <w:rPr>
          <w:rFonts w:eastAsia="MS Mincho"/>
          <w:sz w:val="24"/>
          <w:szCs w:val="24"/>
          <w:lang w:val="en-GB"/>
        </w:rPr>
        <w:t>Datt</w:t>
      </w:r>
      <w:proofErr w:type="spellEnd"/>
      <w:r w:rsidRPr="00664264">
        <w:rPr>
          <w:rFonts w:eastAsia="MS Mincho"/>
          <w:sz w:val="24"/>
          <w:szCs w:val="24"/>
          <w:lang w:val="en-GB"/>
        </w:rPr>
        <w:t>. 2002. "Why Has Economic G</w:t>
      </w:r>
      <w:r w:rsidR="00D645BE">
        <w:rPr>
          <w:rFonts w:eastAsia="MS Mincho"/>
          <w:sz w:val="24"/>
          <w:szCs w:val="24"/>
          <w:lang w:val="en-GB"/>
        </w:rPr>
        <w:t>rowth Been More Pro-Poor in Some</w:t>
      </w:r>
    </w:p>
    <w:p w:rsidR="009158A2" w:rsidRPr="00AD5E22" w:rsidRDefault="009158A2" w:rsidP="005B21A4">
      <w:pPr>
        <w:spacing w:line="480" w:lineRule="auto"/>
      </w:pPr>
      <w:r w:rsidRPr="00664264">
        <w:rPr>
          <w:rFonts w:eastAsia="MS Mincho"/>
          <w:sz w:val="24"/>
          <w:szCs w:val="24"/>
          <w:lang w:val="en-GB"/>
        </w:rPr>
        <w:t>States of India than Others?" Journal of Development Economics. 68: 381-400.</w:t>
      </w:r>
    </w:p>
    <w:p w:rsidR="009158A2" w:rsidRPr="00664264" w:rsidRDefault="00BA7AC6" w:rsidP="005B21A4">
      <w:pPr>
        <w:spacing w:line="480" w:lineRule="auto"/>
        <w:rPr>
          <w:sz w:val="24"/>
          <w:szCs w:val="24"/>
        </w:rPr>
      </w:pPr>
      <w:r w:rsidRPr="00664264">
        <w:rPr>
          <w:sz w:val="24"/>
          <w:szCs w:val="24"/>
        </w:rPr>
        <w:t>St</w:t>
      </w:r>
      <w:r w:rsidR="009158A2" w:rsidRPr="00664264">
        <w:rPr>
          <w:sz w:val="24"/>
          <w:szCs w:val="24"/>
        </w:rPr>
        <w:t xml:space="preserve">uff, Richard, (2013), An Analysis of </w:t>
      </w:r>
      <w:r w:rsidR="00664264" w:rsidRPr="00664264">
        <w:rPr>
          <w:sz w:val="24"/>
          <w:szCs w:val="24"/>
        </w:rPr>
        <w:t>Ethiopia</w:t>
      </w:r>
      <w:r w:rsidRPr="00664264">
        <w:rPr>
          <w:sz w:val="24"/>
          <w:szCs w:val="24"/>
        </w:rPr>
        <w:t xml:space="preserve"> </w:t>
      </w:r>
      <w:r w:rsidR="00664264" w:rsidRPr="00664264">
        <w:rPr>
          <w:sz w:val="24"/>
          <w:szCs w:val="24"/>
        </w:rPr>
        <w:t>Crop</w:t>
      </w:r>
      <w:r w:rsidR="00664264">
        <w:rPr>
          <w:sz w:val="24"/>
          <w:szCs w:val="24"/>
        </w:rPr>
        <w:t xml:space="preserve"> Producti</w:t>
      </w:r>
      <w:r w:rsidRPr="00664264">
        <w:rPr>
          <w:sz w:val="24"/>
          <w:szCs w:val="24"/>
        </w:rPr>
        <w:t xml:space="preserve">vity Trends, </w:t>
      </w:r>
      <w:r w:rsidR="00664264" w:rsidRPr="00664264">
        <w:rPr>
          <w:sz w:val="24"/>
          <w:szCs w:val="24"/>
        </w:rPr>
        <w:t>unpublished</w:t>
      </w:r>
      <w:r w:rsidR="009158A2" w:rsidRPr="00664264">
        <w:rPr>
          <w:sz w:val="24"/>
          <w:szCs w:val="24"/>
        </w:rPr>
        <w:t xml:space="preserve"> </w:t>
      </w:r>
      <w:r w:rsidRPr="00664264">
        <w:rPr>
          <w:sz w:val="24"/>
          <w:szCs w:val="24"/>
        </w:rPr>
        <w:t xml:space="preserve">paper, John Mellor Associates, </w:t>
      </w:r>
      <w:r w:rsidR="00664264" w:rsidRPr="00664264">
        <w:rPr>
          <w:sz w:val="24"/>
          <w:szCs w:val="24"/>
        </w:rPr>
        <w:t>Inc.</w:t>
      </w:r>
      <w:r w:rsidR="009158A2" w:rsidRPr="00664264">
        <w:rPr>
          <w:sz w:val="24"/>
          <w:szCs w:val="24"/>
        </w:rPr>
        <w:t xml:space="preserve"> (to be posted</w:t>
      </w:r>
      <w:r w:rsidRPr="00664264">
        <w:rPr>
          <w:sz w:val="24"/>
          <w:szCs w:val="24"/>
        </w:rPr>
        <w:t xml:space="preserve"> </w:t>
      </w:r>
      <w:r w:rsidR="009158A2" w:rsidRPr="00664264">
        <w:rPr>
          <w:sz w:val="24"/>
          <w:szCs w:val="24"/>
        </w:rPr>
        <w:t>on web shortly</w:t>
      </w:r>
      <w:r w:rsidRPr="00664264">
        <w:rPr>
          <w:sz w:val="24"/>
          <w:szCs w:val="24"/>
        </w:rPr>
        <w:t>)</w:t>
      </w:r>
    </w:p>
    <w:p w:rsidR="008D0BEB" w:rsidRPr="00664264" w:rsidRDefault="00664264" w:rsidP="005B21A4">
      <w:pPr>
        <w:autoSpaceDE w:val="0"/>
        <w:autoSpaceDN w:val="0"/>
        <w:adjustRightInd w:val="0"/>
        <w:spacing w:line="480" w:lineRule="auto"/>
        <w:rPr>
          <w:rFonts w:eastAsia="MS Mincho"/>
          <w:sz w:val="24"/>
          <w:szCs w:val="24"/>
          <w:lang w:val="en-GB"/>
        </w:rPr>
      </w:pPr>
      <w:proofErr w:type="spellStart"/>
      <w:r w:rsidRPr="00664264">
        <w:rPr>
          <w:rFonts w:eastAsia="MS Mincho"/>
          <w:sz w:val="24"/>
          <w:szCs w:val="24"/>
          <w:lang w:val="en-GB"/>
        </w:rPr>
        <w:t>Thirtle</w:t>
      </w:r>
      <w:proofErr w:type="spellEnd"/>
      <w:r w:rsidRPr="00664264">
        <w:rPr>
          <w:rFonts w:eastAsia="MS Mincho"/>
          <w:sz w:val="24"/>
          <w:szCs w:val="24"/>
          <w:lang w:val="en-GB"/>
        </w:rPr>
        <w:t xml:space="preserve">, C. 2001. </w:t>
      </w:r>
      <w:r w:rsidR="009158A2" w:rsidRPr="00664264">
        <w:rPr>
          <w:rFonts w:eastAsia="MS Mincho"/>
          <w:sz w:val="24"/>
          <w:szCs w:val="24"/>
          <w:u w:val="single"/>
          <w:lang w:val="en-GB"/>
        </w:rPr>
        <w:t xml:space="preserve">Relationship </w:t>
      </w:r>
      <w:r w:rsidR="00BD7A4B" w:rsidRPr="00664264">
        <w:rPr>
          <w:rFonts w:eastAsia="MS Mincho"/>
          <w:sz w:val="24"/>
          <w:szCs w:val="24"/>
          <w:u w:val="single"/>
          <w:lang w:val="en-GB"/>
        </w:rPr>
        <w:t>between</w:t>
      </w:r>
      <w:r w:rsidR="009158A2" w:rsidRPr="00664264">
        <w:rPr>
          <w:rFonts w:eastAsia="MS Mincho"/>
          <w:sz w:val="24"/>
          <w:szCs w:val="24"/>
          <w:u w:val="single"/>
          <w:lang w:val="en-GB"/>
        </w:rPr>
        <w:t xml:space="preserve"> Changes in Agricultural Productivity and the Incidence of Poverty in Developing Countries</w:t>
      </w:r>
      <w:r w:rsidR="009158A2" w:rsidRPr="00664264">
        <w:rPr>
          <w:rFonts w:eastAsia="MS Mincho"/>
          <w:sz w:val="24"/>
          <w:szCs w:val="24"/>
          <w:lang w:val="en-GB"/>
        </w:rPr>
        <w:t>. DIVD Report No. 7946, London.</w:t>
      </w:r>
    </w:p>
    <w:p w:rsidR="008D0BEB" w:rsidRPr="00664264" w:rsidRDefault="008D0BEB" w:rsidP="005B21A4">
      <w:pPr>
        <w:autoSpaceDE w:val="0"/>
        <w:autoSpaceDN w:val="0"/>
        <w:adjustRightInd w:val="0"/>
        <w:spacing w:line="480" w:lineRule="auto"/>
        <w:ind w:left="720" w:hanging="720"/>
        <w:rPr>
          <w:rFonts w:eastAsia="MS Mincho"/>
          <w:sz w:val="24"/>
          <w:szCs w:val="24"/>
          <w:lang w:val="en-GB"/>
        </w:rPr>
      </w:pPr>
      <w:proofErr w:type="spellStart"/>
      <w:r w:rsidRPr="00664264">
        <w:rPr>
          <w:rFonts w:eastAsia="MS Mincho"/>
          <w:sz w:val="24"/>
          <w:szCs w:val="24"/>
          <w:lang w:val="en-GB"/>
        </w:rPr>
        <w:t>Timmer</w:t>
      </w:r>
      <w:proofErr w:type="spellEnd"/>
      <w:r w:rsidRPr="00664264">
        <w:rPr>
          <w:rFonts w:eastAsia="MS Mincho"/>
          <w:sz w:val="24"/>
          <w:szCs w:val="24"/>
          <w:lang w:val="en-GB"/>
        </w:rPr>
        <w:t>, C. P</w:t>
      </w:r>
      <w:r w:rsidR="00664264" w:rsidRPr="00664264">
        <w:rPr>
          <w:rFonts w:eastAsia="MS Mincho"/>
          <w:sz w:val="24"/>
          <w:szCs w:val="24"/>
          <w:lang w:val="en-GB"/>
        </w:rPr>
        <w:t xml:space="preserve">. 1997. </w:t>
      </w:r>
      <w:r w:rsidRPr="00664264">
        <w:rPr>
          <w:rFonts w:eastAsia="MS Mincho"/>
          <w:sz w:val="24"/>
          <w:szCs w:val="24"/>
          <w:u w:val="single"/>
          <w:lang w:val="en-GB"/>
        </w:rPr>
        <w:t xml:space="preserve">How </w:t>
      </w:r>
      <w:proofErr w:type="gramStart"/>
      <w:r w:rsidRPr="00664264">
        <w:rPr>
          <w:rFonts w:eastAsia="MS Mincho"/>
          <w:sz w:val="24"/>
          <w:szCs w:val="24"/>
          <w:u w:val="single"/>
          <w:lang w:val="en-GB"/>
        </w:rPr>
        <w:t>Well</w:t>
      </w:r>
      <w:proofErr w:type="gramEnd"/>
      <w:r w:rsidRPr="00664264">
        <w:rPr>
          <w:rFonts w:eastAsia="MS Mincho"/>
          <w:sz w:val="24"/>
          <w:szCs w:val="24"/>
          <w:u w:val="single"/>
          <w:lang w:val="en-GB"/>
        </w:rPr>
        <w:t xml:space="preserve"> do the Poor</w:t>
      </w:r>
      <w:r w:rsidR="00664264" w:rsidRPr="00664264">
        <w:rPr>
          <w:rFonts w:eastAsia="MS Mincho"/>
          <w:sz w:val="24"/>
          <w:szCs w:val="24"/>
          <w:u w:val="single"/>
          <w:lang w:val="en-GB"/>
        </w:rPr>
        <w:t xml:space="preserve"> Connect to the Growth Process?</w:t>
      </w:r>
      <w:r w:rsidRPr="00664264">
        <w:rPr>
          <w:rFonts w:eastAsia="MS Mincho"/>
          <w:sz w:val="24"/>
          <w:szCs w:val="24"/>
          <w:lang w:val="en-GB"/>
        </w:rPr>
        <w:t xml:space="preserve"> CAER Discussion Paper No. 178, Harvard Institute for International Development, Cambridge.</w:t>
      </w:r>
    </w:p>
    <w:p w:rsidR="008D0BEB" w:rsidRPr="00664264" w:rsidRDefault="008D0BEB" w:rsidP="005B21A4">
      <w:pPr>
        <w:pStyle w:val="ListParagraph"/>
        <w:spacing w:line="480" w:lineRule="auto"/>
        <w:ind w:left="1080"/>
        <w:rPr>
          <w:sz w:val="24"/>
          <w:szCs w:val="24"/>
        </w:rPr>
      </w:pPr>
    </w:p>
    <w:p w:rsidR="00B76129" w:rsidRPr="00664264" w:rsidRDefault="00B76129" w:rsidP="005B21A4">
      <w:pPr>
        <w:spacing w:line="480" w:lineRule="auto"/>
        <w:rPr>
          <w:sz w:val="24"/>
          <w:szCs w:val="24"/>
        </w:rPr>
      </w:pPr>
    </w:p>
    <w:p w:rsidR="00804653" w:rsidRDefault="00804653" w:rsidP="005B21A4">
      <w:pPr>
        <w:spacing w:line="480" w:lineRule="auto"/>
      </w:pPr>
    </w:p>
    <w:p w:rsidR="00360824" w:rsidRPr="000D0D4F" w:rsidRDefault="00360824" w:rsidP="005B21A4">
      <w:pPr>
        <w:spacing w:after="120" w:line="480" w:lineRule="auto"/>
        <w:ind w:left="180"/>
        <w:rPr>
          <w:rFonts w:asciiTheme="majorHAnsi" w:hAnsiTheme="majorHAnsi" w:cs="Arial"/>
          <w:b/>
          <w:i/>
          <w:iCs/>
          <w:color w:val="7F7649"/>
          <w:lang w:val="es-ES"/>
        </w:rPr>
      </w:pPr>
    </w:p>
    <w:p w:rsidR="00360824" w:rsidRDefault="00360824" w:rsidP="005B21A4">
      <w:pPr>
        <w:spacing w:line="480" w:lineRule="auto"/>
      </w:pPr>
    </w:p>
    <w:p w:rsidR="00360824" w:rsidRDefault="00360824" w:rsidP="005B21A4">
      <w:pPr>
        <w:spacing w:line="480" w:lineRule="auto"/>
      </w:pPr>
    </w:p>
    <w:p w:rsidR="007275FE" w:rsidRDefault="007275FE" w:rsidP="005B21A4">
      <w:pPr>
        <w:spacing w:line="480" w:lineRule="auto"/>
        <w:ind w:left="360"/>
      </w:pPr>
    </w:p>
    <w:p w:rsidR="008D0BEB" w:rsidRDefault="008D0BEB" w:rsidP="008D0BEB">
      <w:pPr>
        <w:spacing w:after="8" w:line="246" w:lineRule="auto"/>
        <w:ind w:right="-15"/>
        <w:rPr>
          <w:rFonts w:ascii="Calibri" w:eastAsia="Calibri" w:hAnsi="Calibri" w:cs="Calibri"/>
          <w:sz w:val="24"/>
          <w:szCs w:val="24"/>
        </w:rPr>
      </w:pPr>
    </w:p>
    <w:p w:rsidR="008D0BEB" w:rsidRDefault="008D0BEB" w:rsidP="008D0BEB">
      <w:pPr>
        <w:spacing w:after="8" w:line="246" w:lineRule="auto"/>
        <w:ind w:right="-15"/>
        <w:rPr>
          <w:rFonts w:ascii="Calibri" w:eastAsia="Calibri" w:hAnsi="Calibri" w:cs="Calibri"/>
          <w:sz w:val="24"/>
          <w:szCs w:val="24"/>
        </w:rPr>
      </w:pPr>
    </w:p>
    <w:p w:rsidR="008D0BEB" w:rsidRDefault="008D0BEB" w:rsidP="008D0BEB">
      <w:pPr>
        <w:spacing w:after="8" w:line="246" w:lineRule="auto"/>
        <w:ind w:right="-15"/>
        <w:rPr>
          <w:rFonts w:ascii="Calibri" w:eastAsia="Calibri" w:hAnsi="Calibri" w:cs="Calibri"/>
          <w:sz w:val="24"/>
          <w:szCs w:val="24"/>
        </w:rPr>
      </w:pPr>
    </w:p>
    <w:p w:rsidR="008D0BEB" w:rsidRDefault="008D0BEB" w:rsidP="008D0BEB">
      <w:pPr>
        <w:spacing w:after="8" w:line="246" w:lineRule="auto"/>
        <w:ind w:right="-15"/>
        <w:rPr>
          <w:rFonts w:ascii="Calibri" w:eastAsia="Calibri" w:hAnsi="Calibri" w:cs="Calibri"/>
          <w:sz w:val="24"/>
          <w:szCs w:val="24"/>
        </w:rPr>
      </w:pPr>
    </w:p>
    <w:p w:rsidR="008D0BEB" w:rsidRPr="008D0BEB" w:rsidRDefault="008D0BEB" w:rsidP="008D0BEB">
      <w:pPr>
        <w:spacing w:after="8" w:line="246" w:lineRule="auto"/>
        <w:ind w:right="-15"/>
        <w:rPr>
          <w:sz w:val="24"/>
          <w:szCs w:val="24"/>
        </w:rPr>
      </w:pPr>
    </w:p>
    <w:p w:rsidR="00416351" w:rsidRPr="000A7F81" w:rsidRDefault="00416351" w:rsidP="00D17802"/>
    <w:p w:rsidR="005B02EF" w:rsidRDefault="005B02EF" w:rsidP="005B02EF">
      <w:r>
        <w:t>TABLE 1. CEREALS GROWTH RATES, YIELD, AREA, PRODUCTION, 1996/7 – 2011/12</w:t>
      </w:r>
    </w:p>
    <w:tbl>
      <w:tblPr>
        <w:tblStyle w:val="TableGrid"/>
        <w:tblW w:w="9090" w:type="dxa"/>
        <w:tblInd w:w="85" w:type="dxa"/>
        <w:tblLook w:val="04A0" w:firstRow="1" w:lastRow="0" w:firstColumn="1" w:lastColumn="0" w:noHBand="0" w:noVBand="1"/>
      </w:tblPr>
      <w:tblGrid>
        <w:gridCol w:w="2223"/>
        <w:gridCol w:w="1557"/>
        <w:gridCol w:w="1170"/>
        <w:gridCol w:w="1710"/>
        <w:gridCol w:w="2430"/>
      </w:tblGrid>
      <w:tr w:rsidR="005B02EF" w:rsidTr="0037192A">
        <w:tc>
          <w:tcPr>
            <w:tcW w:w="2223" w:type="dxa"/>
          </w:tcPr>
          <w:p w:rsidR="005B02EF" w:rsidRDefault="005B02EF" w:rsidP="0037192A">
            <w:pPr>
              <w:jc w:val="center"/>
            </w:pPr>
            <w:r>
              <w:t>Cereal</w:t>
            </w:r>
          </w:p>
        </w:tc>
        <w:tc>
          <w:tcPr>
            <w:tcW w:w="1557" w:type="dxa"/>
          </w:tcPr>
          <w:p w:rsidR="005B02EF" w:rsidRDefault="005B02EF" w:rsidP="0037192A">
            <w:r>
              <w:t>Growth rate -16 years  %</w:t>
            </w:r>
          </w:p>
        </w:tc>
        <w:tc>
          <w:tcPr>
            <w:tcW w:w="1170" w:type="dxa"/>
          </w:tcPr>
          <w:p w:rsidR="005B02EF" w:rsidRDefault="005B02EF" w:rsidP="0037192A">
            <w:pPr>
              <w:jc w:val="center"/>
            </w:pPr>
            <w:r>
              <w:t xml:space="preserve">Growth rate –recent 12 years - % </w:t>
            </w:r>
          </w:p>
        </w:tc>
        <w:tc>
          <w:tcPr>
            <w:tcW w:w="1710" w:type="dxa"/>
          </w:tcPr>
          <w:p w:rsidR="005B02EF" w:rsidRDefault="005B02EF" w:rsidP="0037192A">
            <w:pPr>
              <w:jc w:val="center"/>
            </w:pPr>
            <w:r>
              <w:t>Difference 16 and 12 years - % points</w:t>
            </w:r>
          </w:p>
          <w:p w:rsidR="005B02EF" w:rsidRDefault="005B02EF" w:rsidP="0037192A">
            <w:pPr>
              <w:jc w:val="center"/>
            </w:pPr>
          </w:p>
        </w:tc>
        <w:tc>
          <w:tcPr>
            <w:tcW w:w="2430" w:type="dxa"/>
          </w:tcPr>
          <w:p w:rsidR="005B02EF" w:rsidRDefault="005B02EF" w:rsidP="0037192A">
            <w:pPr>
              <w:jc w:val="center"/>
            </w:pPr>
            <w:r>
              <w:t>Percent difference between two sets of years</w:t>
            </w:r>
          </w:p>
        </w:tc>
      </w:tr>
      <w:tr w:rsidR="005B02EF" w:rsidTr="0037192A">
        <w:tc>
          <w:tcPr>
            <w:tcW w:w="2223" w:type="dxa"/>
          </w:tcPr>
          <w:p w:rsidR="005B02EF" w:rsidRDefault="005B02EF" w:rsidP="0037192A">
            <w:r>
              <w:t xml:space="preserve">        </w:t>
            </w:r>
            <w:proofErr w:type="spellStart"/>
            <w:r>
              <w:t>Teff</w:t>
            </w:r>
            <w:proofErr w:type="spellEnd"/>
            <w:r>
              <w:t>- yield</w:t>
            </w:r>
          </w:p>
        </w:tc>
        <w:tc>
          <w:tcPr>
            <w:tcW w:w="1557" w:type="dxa"/>
          </w:tcPr>
          <w:p w:rsidR="005B02EF" w:rsidRDefault="005B02EF" w:rsidP="0037192A">
            <w:pPr>
              <w:jc w:val="center"/>
            </w:pPr>
            <w:r>
              <w:t>4.17</w:t>
            </w:r>
          </w:p>
        </w:tc>
        <w:tc>
          <w:tcPr>
            <w:tcW w:w="1170" w:type="dxa"/>
          </w:tcPr>
          <w:p w:rsidR="005B02EF" w:rsidRDefault="005B02EF" w:rsidP="0037192A">
            <w:pPr>
              <w:jc w:val="center"/>
            </w:pPr>
            <w:r>
              <w:t>4.59</w:t>
            </w:r>
          </w:p>
        </w:tc>
        <w:tc>
          <w:tcPr>
            <w:tcW w:w="1710" w:type="dxa"/>
          </w:tcPr>
          <w:p w:rsidR="005B02EF" w:rsidRDefault="005B02EF" w:rsidP="0037192A">
            <w:pPr>
              <w:jc w:val="center"/>
            </w:pPr>
            <w:r>
              <w:t>0.42</w:t>
            </w:r>
          </w:p>
        </w:tc>
        <w:tc>
          <w:tcPr>
            <w:tcW w:w="2430" w:type="dxa"/>
          </w:tcPr>
          <w:p w:rsidR="005B02EF" w:rsidRDefault="005B02EF" w:rsidP="0037192A">
            <w:pPr>
              <w:jc w:val="center"/>
            </w:pPr>
            <w:r>
              <w:t>10</w:t>
            </w:r>
          </w:p>
        </w:tc>
      </w:tr>
      <w:tr w:rsidR="005B02EF" w:rsidTr="0037192A">
        <w:tc>
          <w:tcPr>
            <w:tcW w:w="2223" w:type="dxa"/>
          </w:tcPr>
          <w:p w:rsidR="005B02EF" w:rsidRDefault="005B02EF" w:rsidP="0037192A">
            <w:pPr>
              <w:jc w:val="center"/>
            </w:pPr>
            <w:r>
              <w:t>Area</w:t>
            </w:r>
          </w:p>
        </w:tc>
        <w:tc>
          <w:tcPr>
            <w:tcW w:w="1557" w:type="dxa"/>
          </w:tcPr>
          <w:p w:rsidR="005B02EF" w:rsidRDefault="005B02EF" w:rsidP="0037192A">
            <w:pPr>
              <w:jc w:val="center"/>
            </w:pPr>
            <w:r>
              <w:t>1.57</w:t>
            </w:r>
          </w:p>
        </w:tc>
        <w:tc>
          <w:tcPr>
            <w:tcW w:w="1170" w:type="dxa"/>
          </w:tcPr>
          <w:p w:rsidR="005B02EF" w:rsidRDefault="005B02EF" w:rsidP="0037192A">
            <w:pPr>
              <w:jc w:val="center"/>
            </w:pPr>
            <w:r>
              <w:t>2.99</w:t>
            </w:r>
          </w:p>
        </w:tc>
        <w:tc>
          <w:tcPr>
            <w:tcW w:w="1710" w:type="dxa"/>
          </w:tcPr>
          <w:p w:rsidR="005B02EF" w:rsidRDefault="005B02EF" w:rsidP="0037192A">
            <w:pPr>
              <w:jc w:val="center"/>
            </w:pPr>
            <w:r>
              <w:t>1.42</w:t>
            </w:r>
          </w:p>
        </w:tc>
        <w:tc>
          <w:tcPr>
            <w:tcW w:w="2430" w:type="dxa"/>
          </w:tcPr>
          <w:p w:rsidR="005B02EF" w:rsidRDefault="005B02EF" w:rsidP="0037192A">
            <w:pPr>
              <w:jc w:val="center"/>
            </w:pPr>
            <w:r>
              <w:t>94</w:t>
            </w:r>
          </w:p>
        </w:tc>
      </w:tr>
      <w:tr w:rsidR="005B02EF" w:rsidTr="0037192A">
        <w:tc>
          <w:tcPr>
            <w:tcW w:w="2223" w:type="dxa"/>
          </w:tcPr>
          <w:p w:rsidR="005B02EF" w:rsidRDefault="005B02EF" w:rsidP="0037192A">
            <w:pPr>
              <w:jc w:val="center"/>
            </w:pPr>
            <w:r>
              <w:t>Production</w:t>
            </w:r>
          </w:p>
        </w:tc>
        <w:tc>
          <w:tcPr>
            <w:tcW w:w="1557" w:type="dxa"/>
          </w:tcPr>
          <w:p w:rsidR="005B02EF" w:rsidRDefault="005B02EF" w:rsidP="0037192A">
            <w:pPr>
              <w:jc w:val="center"/>
            </w:pPr>
            <w:r>
              <w:t>5.89</w:t>
            </w:r>
          </w:p>
        </w:tc>
        <w:tc>
          <w:tcPr>
            <w:tcW w:w="1170" w:type="dxa"/>
          </w:tcPr>
          <w:p w:rsidR="005B02EF" w:rsidRDefault="005B02EF" w:rsidP="0037192A">
            <w:pPr>
              <w:jc w:val="center"/>
            </w:pPr>
            <w:r>
              <w:t>7.50</w:t>
            </w:r>
          </w:p>
        </w:tc>
        <w:tc>
          <w:tcPr>
            <w:tcW w:w="1710" w:type="dxa"/>
          </w:tcPr>
          <w:p w:rsidR="005B02EF" w:rsidRDefault="005B02EF" w:rsidP="0037192A">
            <w:pPr>
              <w:jc w:val="center"/>
            </w:pPr>
            <w:r>
              <w:t>1.61</w:t>
            </w:r>
          </w:p>
        </w:tc>
        <w:tc>
          <w:tcPr>
            <w:tcW w:w="2430" w:type="dxa"/>
          </w:tcPr>
          <w:p w:rsidR="005B02EF" w:rsidRDefault="005B02EF" w:rsidP="0037192A">
            <w:pPr>
              <w:jc w:val="center"/>
            </w:pPr>
            <w:r>
              <w:t>27</w:t>
            </w:r>
          </w:p>
        </w:tc>
      </w:tr>
      <w:tr w:rsidR="005B02EF" w:rsidTr="0037192A">
        <w:tc>
          <w:tcPr>
            <w:tcW w:w="2223" w:type="dxa"/>
          </w:tcPr>
          <w:p w:rsidR="005B02EF" w:rsidRDefault="005B02EF" w:rsidP="0037192A">
            <w:pPr>
              <w:jc w:val="center"/>
            </w:pPr>
            <w:r>
              <w:t>Wheat – Yield</w:t>
            </w:r>
          </w:p>
        </w:tc>
        <w:tc>
          <w:tcPr>
            <w:tcW w:w="1557" w:type="dxa"/>
          </w:tcPr>
          <w:p w:rsidR="005B02EF" w:rsidRDefault="005B02EF" w:rsidP="0037192A">
            <w:pPr>
              <w:jc w:val="center"/>
            </w:pPr>
            <w:r>
              <w:t>4.03</w:t>
            </w:r>
          </w:p>
        </w:tc>
        <w:tc>
          <w:tcPr>
            <w:tcW w:w="1170" w:type="dxa"/>
          </w:tcPr>
          <w:p w:rsidR="005B02EF" w:rsidRDefault="005B02EF" w:rsidP="0037192A">
            <w:pPr>
              <w:jc w:val="center"/>
            </w:pPr>
            <w:r>
              <w:t>3.63</w:t>
            </w:r>
          </w:p>
        </w:tc>
        <w:tc>
          <w:tcPr>
            <w:tcW w:w="1710" w:type="dxa"/>
          </w:tcPr>
          <w:p w:rsidR="005B02EF" w:rsidRDefault="005B02EF" w:rsidP="0037192A">
            <w:pPr>
              <w:jc w:val="center"/>
            </w:pPr>
            <w:r>
              <w:t>-0.40</w:t>
            </w:r>
          </w:p>
        </w:tc>
        <w:tc>
          <w:tcPr>
            <w:tcW w:w="2430" w:type="dxa"/>
          </w:tcPr>
          <w:p w:rsidR="005B02EF" w:rsidRDefault="005B02EF" w:rsidP="0037192A">
            <w:pPr>
              <w:jc w:val="center"/>
            </w:pPr>
            <w:r>
              <w:t>-10</w:t>
            </w:r>
          </w:p>
        </w:tc>
      </w:tr>
      <w:tr w:rsidR="005B02EF" w:rsidTr="0037192A">
        <w:tc>
          <w:tcPr>
            <w:tcW w:w="2223" w:type="dxa"/>
          </w:tcPr>
          <w:p w:rsidR="005B02EF" w:rsidRDefault="005B02EF" w:rsidP="0037192A">
            <w:pPr>
              <w:jc w:val="center"/>
            </w:pPr>
            <w:r>
              <w:t>Area</w:t>
            </w:r>
          </w:p>
        </w:tc>
        <w:tc>
          <w:tcPr>
            <w:tcW w:w="1557" w:type="dxa"/>
          </w:tcPr>
          <w:p w:rsidR="005B02EF" w:rsidRDefault="005B02EF" w:rsidP="0037192A">
            <w:pPr>
              <w:jc w:val="center"/>
            </w:pPr>
            <w:r>
              <w:t>2.18</w:t>
            </w:r>
          </w:p>
        </w:tc>
        <w:tc>
          <w:tcPr>
            <w:tcW w:w="1170" w:type="dxa"/>
          </w:tcPr>
          <w:p w:rsidR="005B02EF" w:rsidRDefault="005B02EF" w:rsidP="0037192A">
            <w:pPr>
              <w:jc w:val="center"/>
            </w:pPr>
            <w:r>
              <w:t>1.52</w:t>
            </w:r>
          </w:p>
        </w:tc>
        <w:tc>
          <w:tcPr>
            <w:tcW w:w="1710" w:type="dxa"/>
          </w:tcPr>
          <w:p w:rsidR="005B02EF" w:rsidRDefault="005B02EF" w:rsidP="0037192A">
            <w:pPr>
              <w:jc w:val="center"/>
            </w:pPr>
            <w:r>
              <w:t>- 0.66</w:t>
            </w:r>
          </w:p>
        </w:tc>
        <w:tc>
          <w:tcPr>
            <w:tcW w:w="2430" w:type="dxa"/>
          </w:tcPr>
          <w:p w:rsidR="005B02EF" w:rsidRDefault="005B02EF" w:rsidP="0037192A">
            <w:pPr>
              <w:jc w:val="center"/>
            </w:pPr>
            <w:r>
              <w:t>-30</w:t>
            </w:r>
          </w:p>
        </w:tc>
      </w:tr>
      <w:tr w:rsidR="005B02EF" w:rsidTr="0037192A">
        <w:tc>
          <w:tcPr>
            <w:tcW w:w="2223" w:type="dxa"/>
          </w:tcPr>
          <w:p w:rsidR="005B02EF" w:rsidRDefault="005B02EF" w:rsidP="0037192A">
            <w:pPr>
              <w:jc w:val="center"/>
            </w:pPr>
            <w:r>
              <w:t>Production</w:t>
            </w:r>
          </w:p>
        </w:tc>
        <w:tc>
          <w:tcPr>
            <w:tcW w:w="1557" w:type="dxa"/>
          </w:tcPr>
          <w:p w:rsidR="005B02EF" w:rsidRDefault="005B02EF" w:rsidP="0037192A">
            <w:pPr>
              <w:jc w:val="center"/>
            </w:pPr>
            <w:r>
              <w:t>5.81</w:t>
            </w:r>
          </w:p>
        </w:tc>
        <w:tc>
          <w:tcPr>
            <w:tcW w:w="1170" w:type="dxa"/>
          </w:tcPr>
          <w:p w:rsidR="005B02EF" w:rsidRDefault="005B02EF" w:rsidP="0037192A">
            <w:pPr>
              <w:jc w:val="center"/>
            </w:pPr>
            <w:r>
              <w:t>5.15</w:t>
            </w:r>
          </w:p>
        </w:tc>
        <w:tc>
          <w:tcPr>
            <w:tcW w:w="1710" w:type="dxa"/>
          </w:tcPr>
          <w:p w:rsidR="005B02EF" w:rsidRDefault="005B02EF" w:rsidP="0037192A">
            <w:pPr>
              <w:jc w:val="center"/>
            </w:pPr>
            <w:r>
              <w:t>-0.66</w:t>
            </w:r>
          </w:p>
        </w:tc>
        <w:tc>
          <w:tcPr>
            <w:tcW w:w="2430" w:type="dxa"/>
          </w:tcPr>
          <w:p w:rsidR="005B02EF" w:rsidRDefault="005B02EF" w:rsidP="0037192A">
            <w:pPr>
              <w:jc w:val="center"/>
            </w:pPr>
            <w:r>
              <w:t>-11</w:t>
            </w:r>
          </w:p>
        </w:tc>
      </w:tr>
      <w:tr w:rsidR="005B02EF" w:rsidTr="0037192A">
        <w:tc>
          <w:tcPr>
            <w:tcW w:w="2223" w:type="dxa"/>
          </w:tcPr>
          <w:p w:rsidR="005B02EF" w:rsidRDefault="005B02EF" w:rsidP="0037192A">
            <w:pPr>
              <w:jc w:val="center"/>
            </w:pPr>
            <w:r>
              <w:t>Maize- yield</w:t>
            </w:r>
          </w:p>
        </w:tc>
        <w:tc>
          <w:tcPr>
            <w:tcW w:w="1557" w:type="dxa"/>
          </w:tcPr>
          <w:p w:rsidR="005B02EF" w:rsidRDefault="005B02EF" w:rsidP="0037192A">
            <w:pPr>
              <w:jc w:val="center"/>
            </w:pPr>
            <w:r>
              <w:t>3.44</w:t>
            </w:r>
          </w:p>
        </w:tc>
        <w:tc>
          <w:tcPr>
            <w:tcW w:w="1170" w:type="dxa"/>
          </w:tcPr>
          <w:p w:rsidR="005B02EF" w:rsidRDefault="005B02EF" w:rsidP="0037192A">
            <w:pPr>
              <w:jc w:val="center"/>
            </w:pPr>
            <w:r>
              <w:t>4.22</w:t>
            </w:r>
          </w:p>
        </w:tc>
        <w:tc>
          <w:tcPr>
            <w:tcW w:w="1710" w:type="dxa"/>
          </w:tcPr>
          <w:p w:rsidR="005B02EF" w:rsidRDefault="005B02EF" w:rsidP="0037192A">
            <w:pPr>
              <w:jc w:val="center"/>
            </w:pPr>
            <w:r>
              <w:t>0.78</w:t>
            </w:r>
          </w:p>
        </w:tc>
        <w:tc>
          <w:tcPr>
            <w:tcW w:w="2430" w:type="dxa"/>
          </w:tcPr>
          <w:p w:rsidR="005B02EF" w:rsidRDefault="005B02EF" w:rsidP="0037192A">
            <w:pPr>
              <w:jc w:val="center"/>
            </w:pPr>
            <w:r>
              <w:t>23</w:t>
            </w:r>
          </w:p>
        </w:tc>
      </w:tr>
      <w:tr w:rsidR="005B02EF" w:rsidTr="0037192A">
        <w:tc>
          <w:tcPr>
            <w:tcW w:w="2223" w:type="dxa"/>
          </w:tcPr>
          <w:p w:rsidR="005B02EF" w:rsidRDefault="005B02EF" w:rsidP="0037192A">
            <w:pPr>
              <w:jc w:val="center"/>
            </w:pPr>
            <w:r>
              <w:t>Area</w:t>
            </w:r>
          </w:p>
        </w:tc>
        <w:tc>
          <w:tcPr>
            <w:tcW w:w="1557" w:type="dxa"/>
          </w:tcPr>
          <w:p w:rsidR="005B02EF" w:rsidRDefault="005B02EF" w:rsidP="0037192A">
            <w:pPr>
              <w:jc w:val="center"/>
            </w:pPr>
            <w:r>
              <w:t>2.33</w:t>
            </w:r>
          </w:p>
        </w:tc>
        <w:tc>
          <w:tcPr>
            <w:tcW w:w="1170" w:type="dxa"/>
          </w:tcPr>
          <w:p w:rsidR="005B02EF" w:rsidRDefault="005B02EF" w:rsidP="0037192A">
            <w:pPr>
              <w:jc w:val="center"/>
            </w:pPr>
            <w:r>
              <w:t>3.01</w:t>
            </w:r>
          </w:p>
        </w:tc>
        <w:tc>
          <w:tcPr>
            <w:tcW w:w="1710" w:type="dxa"/>
          </w:tcPr>
          <w:p w:rsidR="005B02EF" w:rsidRDefault="005B02EF" w:rsidP="0037192A">
            <w:pPr>
              <w:jc w:val="center"/>
            </w:pPr>
            <w:r>
              <w:t>0.68</w:t>
            </w:r>
          </w:p>
        </w:tc>
        <w:tc>
          <w:tcPr>
            <w:tcW w:w="2430" w:type="dxa"/>
          </w:tcPr>
          <w:p w:rsidR="005B02EF" w:rsidRDefault="005B02EF" w:rsidP="0037192A">
            <w:pPr>
              <w:jc w:val="center"/>
            </w:pPr>
            <w:r>
              <w:t>29</w:t>
            </w:r>
          </w:p>
        </w:tc>
      </w:tr>
      <w:tr w:rsidR="005B02EF" w:rsidTr="0037192A">
        <w:tc>
          <w:tcPr>
            <w:tcW w:w="2223" w:type="dxa"/>
          </w:tcPr>
          <w:p w:rsidR="005B02EF" w:rsidRDefault="005B02EF" w:rsidP="0037192A">
            <w:pPr>
              <w:jc w:val="center"/>
            </w:pPr>
            <w:r>
              <w:t>Production</w:t>
            </w:r>
          </w:p>
        </w:tc>
        <w:tc>
          <w:tcPr>
            <w:tcW w:w="1557" w:type="dxa"/>
          </w:tcPr>
          <w:p w:rsidR="005B02EF" w:rsidRDefault="005B02EF" w:rsidP="0037192A">
            <w:pPr>
              <w:jc w:val="center"/>
            </w:pPr>
            <w:r>
              <w:t>5.73</w:t>
            </w:r>
          </w:p>
        </w:tc>
        <w:tc>
          <w:tcPr>
            <w:tcW w:w="1170" w:type="dxa"/>
          </w:tcPr>
          <w:p w:rsidR="005B02EF" w:rsidRDefault="005B02EF" w:rsidP="0037192A">
            <w:pPr>
              <w:jc w:val="center"/>
            </w:pPr>
            <w:r>
              <w:t>7.23</w:t>
            </w:r>
          </w:p>
        </w:tc>
        <w:tc>
          <w:tcPr>
            <w:tcW w:w="1710" w:type="dxa"/>
          </w:tcPr>
          <w:p w:rsidR="005B02EF" w:rsidRDefault="005B02EF" w:rsidP="0037192A">
            <w:pPr>
              <w:jc w:val="center"/>
            </w:pPr>
            <w:r>
              <w:t>1.50</w:t>
            </w:r>
          </w:p>
        </w:tc>
        <w:tc>
          <w:tcPr>
            <w:tcW w:w="2430" w:type="dxa"/>
          </w:tcPr>
          <w:p w:rsidR="005B02EF" w:rsidRDefault="005B02EF" w:rsidP="0037192A">
            <w:pPr>
              <w:jc w:val="center"/>
            </w:pPr>
            <w:r>
              <w:t>26</w:t>
            </w:r>
          </w:p>
        </w:tc>
      </w:tr>
      <w:tr w:rsidR="005B02EF" w:rsidTr="0037192A">
        <w:tc>
          <w:tcPr>
            <w:tcW w:w="2223" w:type="dxa"/>
          </w:tcPr>
          <w:p w:rsidR="005B02EF" w:rsidRDefault="005B02EF" w:rsidP="0037192A">
            <w:pPr>
              <w:jc w:val="center"/>
            </w:pPr>
            <w:r>
              <w:t>Sorghum – Yield</w:t>
            </w:r>
          </w:p>
        </w:tc>
        <w:tc>
          <w:tcPr>
            <w:tcW w:w="1557" w:type="dxa"/>
          </w:tcPr>
          <w:p w:rsidR="005B02EF" w:rsidRDefault="005B02EF" w:rsidP="0037192A">
            <w:pPr>
              <w:jc w:val="center"/>
            </w:pPr>
            <w:r>
              <w:t>4.46</w:t>
            </w:r>
          </w:p>
        </w:tc>
        <w:tc>
          <w:tcPr>
            <w:tcW w:w="1170" w:type="dxa"/>
          </w:tcPr>
          <w:p w:rsidR="005B02EF" w:rsidRDefault="005B02EF" w:rsidP="0037192A">
            <w:pPr>
              <w:jc w:val="center"/>
            </w:pPr>
            <w:r>
              <w:t>4.77</w:t>
            </w:r>
          </w:p>
        </w:tc>
        <w:tc>
          <w:tcPr>
            <w:tcW w:w="1710" w:type="dxa"/>
          </w:tcPr>
          <w:p w:rsidR="005B02EF" w:rsidRDefault="005B02EF" w:rsidP="0037192A">
            <w:pPr>
              <w:jc w:val="center"/>
            </w:pPr>
            <w:r>
              <w:t>0.31</w:t>
            </w:r>
          </w:p>
        </w:tc>
        <w:tc>
          <w:tcPr>
            <w:tcW w:w="2430" w:type="dxa"/>
          </w:tcPr>
          <w:p w:rsidR="005B02EF" w:rsidRDefault="005B02EF" w:rsidP="0037192A">
            <w:pPr>
              <w:jc w:val="center"/>
            </w:pPr>
            <w:r>
              <w:t>7</w:t>
            </w:r>
          </w:p>
        </w:tc>
      </w:tr>
      <w:tr w:rsidR="005B02EF" w:rsidTr="0037192A">
        <w:tc>
          <w:tcPr>
            <w:tcW w:w="2223" w:type="dxa"/>
          </w:tcPr>
          <w:p w:rsidR="005B02EF" w:rsidRDefault="005B02EF" w:rsidP="0037192A">
            <w:pPr>
              <w:jc w:val="center"/>
            </w:pPr>
            <w:r>
              <w:t>Area</w:t>
            </w:r>
          </w:p>
        </w:tc>
        <w:tc>
          <w:tcPr>
            <w:tcW w:w="1557" w:type="dxa"/>
          </w:tcPr>
          <w:p w:rsidR="005B02EF" w:rsidRDefault="005B02EF" w:rsidP="0037192A">
            <w:pPr>
              <w:jc w:val="center"/>
            </w:pPr>
            <w:r>
              <w:t>3.97</w:t>
            </w:r>
          </w:p>
        </w:tc>
        <w:tc>
          <w:tcPr>
            <w:tcW w:w="1170" w:type="dxa"/>
          </w:tcPr>
          <w:p w:rsidR="005B02EF" w:rsidRDefault="005B02EF" w:rsidP="0037192A">
            <w:pPr>
              <w:jc w:val="center"/>
            </w:pPr>
            <w:r>
              <w:t>3.77</w:t>
            </w:r>
          </w:p>
        </w:tc>
        <w:tc>
          <w:tcPr>
            <w:tcW w:w="1710" w:type="dxa"/>
          </w:tcPr>
          <w:p w:rsidR="005B02EF" w:rsidRDefault="005B02EF" w:rsidP="0037192A">
            <w:pPr>
              <w:jc w:val="center"/>
            </w:pPr>
            <w:r>
              <w:t>-0.20</w:t>
            </w:r>
          </w:p>
        </w:tc>
        <w:tc>
          <w:tcPr>
            <w:tcW w:w="2430" w:type="dxa"/>
          </w:tcPr>
          <w:p w:rsidR="005B02EF" w:rsidRDefault="005B02EF" w:rsidP="0037192A">
            <w:pPr>
              <w:jc w:val="center"/>
            </w:pPr>
            <w:r>
              <w:t>-5</w:t>
            </w:r>
          </w:p>
        </w:tc>
      </w:tr>
      <w:tr w:rsidR="005B02EF" w:rsidTr="0037192A">
        <w:tc>
          <w:tcPr>
            <w:tcW w:w="2223" w:type="dxa"/>
          </w:tcPr>
          <w:p w:rsidR="005B02EF" w:rsidRDefault="005B02EF" w:rsidP="0037192A">
            <w:pPr>
              <w:jc w:val="center"/>
            </w:pPr>
            <w:r>
              <w:t>Production</w:t>
            </w:r>
          </w:p>
        </w:tc>
        <w:tc>
          <w:tcPr>
            <w:tcW w:w="1557" w:type="dxa"/>
          </w:tcPr>
          <w:p w:rsidR="005B02EF" w:rsidRDefault="005B02EF" w:rsidP="0037192A">
            <w:pPr>
              <w:jc w:val="center"/>
            </w:pPr>
            <w:r>
              <w:t>7.80</w:t>
            </w:r>
          </w:p>
        </w:tc>
        <w:tc>
          <w:tcPr>
            <w:tcW w:w="1170" w:type="dxa"/>
          </w:tcPr>
          <w:p w:rsidR="005B02EF" w:rsidRDefault="005B02EF" w:rsidP="0037192A">
            <w:pPr>
              <w:jc w:val="center"/>
            </w:pPr>
            <w:r>
              <w:t>7.97</w:t>
            </w:r>
          </w:p>
        </w:tc>
        <w:tc>
          <w:tcPr>
            <w:tcW w:w="1710" w:type="dxa"/>
          </w:tcPr>
          <w:p w:rsidR="005B02EF" w:rsidRDefault="005B02EF" w:rsidP="0037192A">
            <w:pPr>
              <w:jc w:val="center"/>
            </w:pPr>
            <w:r>
              <w:t>0.17</w:t>
            </w:r>
          </w:p>
        </w:tc>
        <w:tc>
          <w:tcPr>
            <w:tcW w:w="2430" w:type="dxa"/>
          </w:tcPr>
          <w:p w:rsidR="005B02EF" w:rsidRDefault="005B02EF" w:rsidP="0037192A">
            <w:pPr>
              <w:jc w:val="center"/>
            </w:pPr>
            <w:r>
              <w:t>2</w:t>
            </w:r>
          </w:p>
        </w:tc>
      </w:tr>
      <w:tr w:rsidR="005B02EF" w:rsidTr="0037192A">
        <w:tc>
          <w:tcPr>
            <w:tcW w:w="2223" w:type="dxa"/>
          </w:tcPr>
          <w:p w:rsidR="005B02EF" w:rsidRDefault="005B02EF" w:rsidP="0037192A">
            <w:pPr>
              <w:jc w:val="center"/>
            </w:pPr>
            <w:r>
              <w:t>Sum W-M-S- Yield</w:t>
            </w:r>
          </w:p>
        </w:tc>
        <w:tc>
          <w:tcPr>
            <w:tcW w:w="1557" w:type="dxa"/>
          </w:tcPr>
          <w:p w:rsidR="005B02EF" w:rsidRDefault="005B02EF" w:rsidP="0037192A">
            <w:pPr>
              <w:jc w:val="center"/>
            </w:pPr>
            <w:r>
              <w:t>3.63</w:t>
            </w:r>
          </w:p>
        </w:tc>
        <w:tc>
          <w:tcPr>
            <w:tcW w:w="1170" w:type="dxa"/>
          </w:tcPr>
          <w:p w:rsidR="005B02EF" w:rsidRDefault="005B02EF" w:rsidP="0037192A">
            <w:pPr>
              <w:jc w:val="center"/>
            </w:pPr>
            <w:r>
              <w:t>4.03</w:t>
            </w:r>
          </w:p>
        </w:tc>
        <w:tc>
          <w:tcPr>
            <w:tcW w:w="1710" w:type="dxa"/>
          </w:tcPr>
          <w:p w:rsidR="005B02EF" w:rsidRDefault="005B02EF" w:rsidP="0037192A">
            <w:pPr>
              <w:jc w:val="center"/>
            </w:pPr>
            <w:r>
              <w:t>0.40</w:t>
            </w:r>
          </w:p>
        </w:tc>
        <w:tc>
          <w:tcPr>
            <w:tcW w:w="2430" w:type="dxa"/>
          </w:tcPr>
          <w:p w:rsidR="005B02EF" w:rsidRDefault="005B02EF" w:rsidP="0037192A">
            <w:pPr>
              <w:jc w:val="center"/>
            </w:pPr>
            <w:r>
              <w:t>11</w:t>
            </w:r>
          </w:p>
        </w:tc>
      </w:tr>
      <w:tr w:rsidR="005B02EF" w:rsidTr="0037192A">
        <w:tc>
          <w:tcPr>
            <w:tcW w:w="2223" w:type="dxa"/>
          </w:tcPr>
          <w:p w:rsidR="005B02EF" w:rsidRDefault="005B02EF" w:rsidP="0037192A">
            <w:pPr>
              <w:jc w:val="center"/>
            </w:pPr>
            <w:r>
              <w:t>Area</w:t>
            </w:r>
          </w:p>
        </w:tc>
        <w:tc>
          <w:tcPr>
            <w:tcW w:w="1557" w:type="dxa"/>
          </w:tcPr>
          <w:p w:rsidR="005B02EF" w:rsidRDefault="005B02EF" w:rsidP="0037192A">
            <w:pPr>
              <w:jc w:val="center"/>
            </w:pPr>
            <w:r>
              <w:t>2.64</w:t>
            </w:r>
          </w:p>
        </w:tc>
        <w:tc>
          <w:tcPr>
            <w:tcW w:w="1170" w:type="dxa"/>
          </w:tcPr>
          <w:p w:rsidR="005B02EF" w:rsidRDefault="005B02EF" w:rsidP="0037192A">
            <w:pPr>
              <w:jc w:val="center"/>
            </w:pPr>
            <w:r>
              <w:t>2.71</w:t>
            </w:r>
          </w:p>
        </w:tc>
        <w:tc>
          <w:tcPr>
            <w:tcW w:w="1710" w:type="dxa"/>
          </w:tcPr>
          <w:p w:rsidR="005B02EF" w:rsidRDefault="005B02EF" w:rsidP="0037192A">
            <w:pPr>
              <w:jc w:val="center"/>
            </w:pPr>
            <w:r>
              <w:t>0.07</w:t>
            </w:r>
          </w:p>
        </w:tc>
        <w:tc>
          <w:tcPr>
            <w:tcW w:w="2430" w:type="dxa"/>
          </w:tcPr>
          <w:p w:rsidR="005B02EF" w:rsidRDefault="005B02EF" w:rsidP="0037192A">
            <w:pPr>
              <w:jc w:val="center"/>
            </w:pPr>
            <w:r>
              <w:t>3</w:t>
            </w:r>
          </w:p>
        </w:tc>
      </w:tr>
      <w:tr w:rsidR="005B02EF" w:rsidTr="0037192A">
        <w:tc>
          <w:tcPr>
            <w:tcW w:w="2223" w:type="dxa"/>
          </w:tcPr>
          <w:p w:rsidR="005B02EF" w:rsidRDefault="005B02EF" w:rsidP="0037192A">
            <w:pPr>
              <w:jc w:val="center"/>
            </w:pPr>
            <w:r>
              <w:t>Production</w:t>
            </w:r>
          </w:p>
        </w:tc>
        <w:tc>
          <w:tcPr>
            <w:tcW w:w="1557" w:type="dxa"/>
          </w:tcPr>
          <w:p w:rsidR="005B02EF" w:rsidRDefault="005B02EF" w:rsidP="0037192A">
            <w:pPr>
              <w:tabs>
                <w:tab w:val="center" w:pos="474"/>
              </w:tabs>
            </w:pPr>
            <w:r>
              <w:tab/>
              <w:t xml:space="preserve">        6.25</w:t>
            </w:r>
          </w:p>
        </w:tc>
        <w:tc>
          <w:tcPr>
            <w:tcW w:w="1170" w:type="dxa"/>
          </w:tcPr>
          <w:p w:rsidR="005B02EF" w:rsidRDefault="005B02EF" w:rsidP="0037192A">
            <w:pPr>
              <w:jc w:val="center"/>
            </w:pPr>
            <w:r>
              <w:t>6.57</w:t>
            </w:r>
          </w:p>
        </w:tc>
        <w:tc>
          <w:tcPr>
            <w:tcW w:w="1710" w:type="dxa"/>
          </w:tcPr>
          <w:p w:rsidR="005B02EF" w:rsidRDefault="005B02EF" w:rsidP="0037192A">
            <w:pPr>
              <w:jc w:val="center"/>
            </w:pPr>
            <w:r>
              <w:t>0.32</w:t>
            </w:r>
          </w:p>
        </w:tc>
        <w:tc>
          <w:tcPr>
            <w:tcW w:w="2430" w:type="dxa"/>
          </w:tcPr>
          <w:p w:rsidR="005B02EF" w:rsidRDefault="005B02EF" w:rsidP="0037192A">
            <w:pPr>
              <w:jc w:val="center"/>
            </w:pPr>
            <w:r>
              <w:t>5</w:t>
            </w:r>
          </w:p>
        </w:tc>
      </w:tr>
      <w:tr w:rsidR="005B02EF" w:rsidTr="0037192A">
        <w:tc>
          <w:tcPr>
            <w:tcW w:w="2223" w:type="dxa"/>
          </w:tcPr>
          <w:p w:rsidR="005B02EF" w:rsidRDefault="005B02EF" w:rsidP="0037192A">
            <w:pPr>
              <w:jc w:val="center"/>
            </w:pPr>
          </w:p>
        </w:tc>
        <w:tc>
          <w:tcPr>
            <w:tcW w:w="1557" w:type="dxa"/>
          </w:tcPr>
          <w:p w:rsidR="005B02EF" w:rsidRDefault="005B02EF" w:rsidP="0037192A">
            <w:pPr>
              <w:jc w:val="center"/>
            </w:pPr>
          </w:p>
        </w:tc>
        <w:tc>
          <w:tcPr>
            <w:tcW w:w="1170" w:type="dxa"/>
          </w:tcPr>
          <w:p w:rsidR="005B02EF" w:rsidRDefault="005B02EF" w:rsidP="0037192A">
            <w:pPr>
              <w:jc w:val="center"/>
            </w:pPr>
          </w:p>
        </w:tc>
        <w:tc>
          <w:tcPr>
            <w:tcW w:w="1710" w:type="dxa"/>
          </w:tcPr>
          <w:p w:rsidR="005B02EF" w:rsidRDefault="005B02EF" w:rsidP="0037192A">
            <w:pPr>
              <w:jc w:val="center"/>
            </w:pPr>
          </w:p>
        </w:tc>
        <w:tc>
          <w:tcPr>
            <w:tcW w:w="2430" w:type="dxa"/>
          </w:tcPr>
          <w:p w:rsidR="005B02EF" w:rsidRDefault="005B02EF" w:rsidP="0037192A">
            <w:pPr>
              <w:jc w:val="center"/>
            </w:pPr>
          </w:p>
        </w:tc>
      </w:tr>
      <w:tr w:rsidR="005B02EF" w:rsidTr="0037192A">
        <w:tc>
          <w:tcPr>
            <w:tcW w:w="2223" w:type="dxa"/>
          </w:tcPr>
          <w:p w:rsidR="005B02EF" w:rsidRDefault="005B02EF" w:rsidP="0037192A">
            <w:pPr>
              <w:jc w:val="center"/>
            </w:pPr>
            <w:r>
              <w:t>Average – simple all four</w:t>
            </w:r>
          </w:p>
        </w:tc>
        <w:tc>
          <w:tcPr>
            <w:tcW w:w="1557" w:type="dxa"/>
          </w:tcPr>
          <w:p w:rsidR="005B02EF" w:rsidRDefault="005B02EF" w:rsidP="0037192A">
            <w:pPr>
              <w:jc w:val="center"/>
            </w:pPr>
            <w:r>
              <w:t>6.31</w:t>
            </w:r>
          </w:p>
        </w:tc>
        <w:tc>
          <w:tcPr>
            <w:tcW w:w="1170" w:type="dxa"/>
          </w:tcPr>
          <w:p w:rsidR="005B02EF" w:rsidRDefault="005B02EF" w:rsidP="0037192A">
            <w:pPr>
              <w:jc w:val="center"/>
            </w:pPr>
            <w:r>
              <w:t>6.96</w:t>
            </w:r>
          </w:p>
        </w:tc>
        <w:tc>
          <w:tcPr>
            <w:tcW w:w="1710" w:type="dxa"/>
          </w:tcPr>
          <w:p w:rsidR="005B02EF" w:rsidRDefault="005B02EF" w:rsidP="0037192A">
            <w:pPr>
              <w:jc w:val="center"/>
            </w:pPr>
            <w:r>
              <w:t>0.65</w:t>
            </w:r>
          </w:p>
        </w:tc>
        <w:tc>
          <w:tcPr>
            <w:tcW w:w="2430" w:type="dxa"/>
          </w:tcPr>
          <w:p w:rsidR="005B02EF" w:rsidRDefault="005B02EF" w:rsidP="0037192A">
            <w:pPr>
              <w:jc w:val="center"/>
            </w:pPr>
            <w:r>
              <w:t>10</w:t>
            </w:r>
          </w:p>
        </w:tc>
      </w:tr>
      <w:tr w:rsidR="005B02EF" w:rsidTr="0037192A">
        <w:tc>
          <w:tcPr>
            <w:tcW w:w="2223" w:type="dxa"/>
          </w:tcPr>
          <w:p w:rsidR="005B02EF" w:rsidRDefault="005B02EF" w:rsidP="0037192A">
            <w:pPr>
              <w:jc w:val="center"/>
            </w:pPr>
            <w:r>
              <w:t xml:space="preserve">National average </w:t>
            </w:r>
          </w:p>
          <w:p w:rsidR="005B02EF" w:rsidRDefault="005B02EF" w:rsidP="0037192A">
            <w:pPr>
              <w:jc w:val="center"/>
            </w:pPr>
            <w:r>
              <w:t>All zones</w:t>
            </w:r>
          </w:p>
        </w:tc>
        <w:tc>
          <w:tcPr>
            <w:tcW w:w="1557" w:type="dxa"/>
          </w:tcPr>
          <w:p w:rsidR="005B02EF" w:rsidRDefault="005B02EF" w:rsidP="0037192A">
            <w:pPr>
              <w:jc w:val="center"/>
            </w:pPr>
            <w:r>
              <w:t>7.38</w:t>
            </w:r>
          </w:p>
        </w:tc>
        <w:tc>
          <w:tcPr>
            <w:tcW w:w="1170" w:type="dxa"/>
          </w:tcPr>
          <w:p w:rsidR="005B02EF" w:rsidRDefault="005B02EF" w:rsidP="0037192A">
            <w:pPr>
              <w:jc w:val="center"/>
            </w:pPr>
            <w:r>
              <w:t>7.57</w:t>
            </w:r>
          </w:p>
        </w:tc>
        <w:tc>
          <w:tcPr>
            <w:tcW w:w="1710" w:type="dxa"/>
          </w:tcPr>
          <w:p w:rsidR="005B02EF" w:rsidRDefault="005B02EF" w:rsidP="0037192A">
            <w:pPr>
              <w:jc w:val="center"/>
            </w:pPr>
            <w:r>
              <w:t>0.19</w:t>
            </w:r>
          </w:p>
          <w:p w:rsidR="005B02EF" w:rsidRDefault="005B02EF" w:rsidP="0037192A"/>
        </w:tc>
        <w:tc>
          <w:tcPr>
            <w:tcW w:w="2430" w:type="dxa"/>
          </w:tcPr>
          <w:p w:rsidR="005B02EF" w:rsidRDefault="005B02EF" w:rsidP="0037192A">
            <w:pPr>
              <w:jc w:val="center"/>
            </w:pPr>
            <w:r>
              <w:t>3</w:t>
            </w:r>
          </w:p>
        </w:tc>
      </w:tr>
    </w:tbl>
    <w:p w:rsidR="00440254" w:rsidRDefault="00440254" w:rsidP="00440254">
      <w:r>
        <w:t>Source: Consultants paper to JMA by Richard Stuff, analyzing Central Statistics Organization (CSA) data Paper and data available from JMA, see footnote 2.</w:t>
      </w:r>
    </w:p>
    <w:p w:rsidR="00C94E37" w:rsidRPr="00DF72AD" w:rsidRDefault="00C94E37" w:rsidP="00D17802"/>
    <w:p w:rsidR="00440254" w:rsidRDefault="00440254" w:rsidP="005B02EF">
      <w:pPr>
        <w:spacing w:line="360" w:lineRule="auto"/>
        <w:rPr>
          <w:rFonts w:eastAsia="Times New Roman"/>
          <w:sz w:val="24"/>
          <w:szCs w:val="24"/>
          <w:lang w:val="en-GB"/>
        </w:rPr>
      </w:pPr>
    </w:p>
    <w:p w:rsidR="005B02EF" w:rsidRPr="002422CD" w:rsidRDefault="005B02EF" w:rsidP="005B02EF">
      <w:pPr>
        <w:spacing w:line="360" w:lineRule="auto"/>
        <w:rPr>
          <w:rFonts w:eastAsia="Times New Roman"/>
          <w:sz w:val="24"/>
          <w:szCs w:val="24"/>
          <w:lang w:val="en-GB"/>
        </w:rPr>
      </w:pPr>
      <w:r>
        <w:rPr>
          <w:rFonts w:eastAsia="Times New Roman"/>
          <w:sz w:val="24"/>
          <w:szCs w:val="24"/>
          <w:lang w:val="en-GB"/>
        </w:rPr>
        <w:t>Table 2. Distribution of Households and Area, by Size of Holding, 2012/13</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B02EF" w:rsidTr="0037192A">
        <w:trPr>
          <w:trHeight w:val="1169"/>
        </w:trPr>
        <w:tc>
          <w:tcPr>
            <w:tcW w:w="1558" w:type="dxa"/>
          </w:tcPr>
          <w:p w:rsidR="005B02EF" w:rsidRDefault="005B02EF" w:rsidP="0037192A">
            <w:r>
              <w:lastRenderedPageBreak/>
              <w:t>Farm Size, hectares</w:t>
            </w:r>
          </w:p>
        </w:tc>
        <w:tc>
          <w:tcPr>
            <w:tcW w:w="1558" w:type="dxa"/>
          </w:tcPr>
          <w:p w:rsidR="005B02EF" w:rsidRDefault="005B02EF" w:rsidP="0037192A">
            <w:r>
              <w:t>Number of Households</w:t>
            </w:r>
          </w:p>
        </w:tc>
        <w:tc>
          <w:tcPr>
            <w:tcW w:w="1558" w:type="dxa"/>
          </w:tcPr>
          <w:p w:rsidR="005B02EF" w:rsidRDefault="005B02EF" w:rsidP="0037192A">
            <w:r>
              <w:t>Percent Households</w:t>
            </w:r>
          </w:p>
        </w:tc>
        <w:tc>
          <w:tcPr>
            <w:tcW w:w="1558" w:type="dxa"/>
          </w:tcPr>
          <w:p w:rsidR="005B02EF" w:rsidRDefault="005B02EF" w:rsidP="0037192A">
            <w:r>
              <w:t>Hectares crop area</w:t>
            </w:r>
          </w:p>
        </w:tc>
        <w:tc>
          <w:tcPr>
            <w:tcW w:w="1559" w:type="dxa"/>
          </w:tcPr>
          <w:p w:rsidR="005B02EF" w:rsidRDefault="005B02EF" w:rsidP="0037192A">
            <w:r>
              <w:t>Percent crop area</w:t>
            </w:r>
          </w:p>
        </w:tc>
        <w:tc>
          <w:tcPr>
            <w:tcW w:w="1559" w:type="dxa"/>
          </w:tcPr>
          <w:p w:rsidR="005B02EF" w:rsidRDefault="005B02EF" w:rsidP="0037192A">
            <w:r>
              <w:t>Percent crop area, including large scale</w:t>
            </w:r>
          </w:p>
        </w:tc>
      </w:tr>
      <w:tr w:rsidR="005B02EF" w:rsidTr="0037192A">
        <w:tc>
          <w:tcPr>
            <w:tcW w:w="1558" w:type="dxa"/>
          </w:tcPr>
          <w:p w:rsidR="005B02EF" w:rsidRDefault="005B02EF" w:rsidP="0037192A">
            <w:r>
              <w:t>Less than 0.10</w:t>
            </w:r>
          </w:p>
        </w:tc>
        <w:tc>
          <w:tcPr>
            <w:tcW w:w="1558" w:type="dxa"/>
          </w:tcPr>
          <w:p w:rsidR="005B02EF" w:rsidRDefault="005B02EF" w:rsidP="0037192A">
            <w:r>
              <w:t>1,023,948</w:t>
            </w:r>
          </w:p>
        </w:tc>
        <w:tc>
          <w:tcPr>
            <w:tcW w:w="1558" w:type="dxa"/>
          </w:tcPr>
          <w:p w:rsidR="005B02EF" w:rsidRDefault="005B02EF" w:rsidP="0037192A">
            <w:r>
              <w:t xml:space="preserve">  6.8</w:t>
            </w:r>
          </w:p>
        </w:tc>
        <w:tc>
          <w:tcPr>
            <w:tcW w:w="1558" w:type="dxa"/>
          </w:tcPr>
          <w:p w:rsidR="005B02EF" w:rsidRDefault="005B02EF" w:rsidP="0037192A">
            <w:r>
              <w:t xml:space="preserve">    39,443</w:t>
            </w:r>
          </w:p>
        </w:tc>
        <w:tc>
          <w:tcPr>
            <w:tcW w:w="1559" w:type="dxa"/>
          </w:tcPr>
          <w:p w:rsidR="005B02EF" w:rsidRDefault="005B02EF" w:rsidP="0037192A">
            <w:r>
              <w:t xml:space="preserve"> 0.3</w:t>
            </w:r>
          </w:p>
        </w:tc>
        <w:tc>
          <w:tcPr>
            <w:tcW w:w="1559" w:type="dxa"/>
          </w:tcPr>
          <w:p w:rsidR="005B02EF" w:rsidRDefault="005B02EF" w:rsidP="0037192A">
            <w:r>
              <w:t xml:space="preserve"> 0.3</w:t>
            </w:r>
          </w:p>
        </w:tc>
      </w:tr>
      <w:tr w:rsidR="005B02EF" w:rsidTr="0037192A">
        <w:tc>
          <w:tcPr>
            <w:tcW w:w="1558" w:type="dxa"/>
          </w:tcPr>
          <w:p w:rsidR="005B02EF" w:rsidRDefault="005B02EF" w:rsidP="0037192A">
            <w:r>
              <w:t>0.10-0.50</w:t>
            </w:r>
          </w:p>
        </w:tc>
        <w:tc>
          <w:tcPr>
            <w:tcW w:w="1558" w:type="dxa"/>
          </w:tcPr>
          <w:p w:rsidR="005B02EF" w:rsidRDefault="005B02EF" w:rsidP="0037192A">
            <w:r>
              <w:t>4,045,371</w:t>
            </w:r>
          </w:p>
        </w:tc>
        <w:tc>
          <w:tcPr>
            <w:tcW w:w="1558" w:type="dxa"/>
          </w:tcPr>
          <w:p w:rsidR="005B02EF" w:rsidRDefault="005B02EF" w:rsidP="0037192A">
            <w:r>
              <w:t>27.0</w:t>
            </w:r>
          </w:p>
        </w:tc>
        <w:tc>
          <w:tcPr>
            <w:tcW w:w="1558" w:type="dxa"/>
          </w:tcPr>
          <w:p w:rsidR="005B02EF" w:rsidRDefault="005B02EF" w:rsidP="0037192A">
            <w:r>
              <w:t xml:space="preserve">  978,161</w:t>
            </w:r>
          </w:p>
        </w:tc>
        <w:tc>
          <w:tcPr>
            <w:tcW w:w="1559" w:type="dxa"/>
          </w:tcPr>
          <w:p w:rsidR="005B02EF" w:rsidRDefault="005B02EF" w:rsidP="0037192A">
            <w:r>
              <w:t xml:space="preserve"> 7.0</w:t>
            </w:r>
          </w:p>
        </w:tc>
        <w:tc>
          <w:tcPr>
            <w:tcW w:w="1559" w:type="dxa"/>
          </w:tcPr>
          <w:p w:rsidR="005B02EF" w:rsidRDefault="005B02EF" w:rsidP="0037192A">
            <w:r>
              <w:t xml:space="preserve"> 6.3</w:t>
            </w:r>
          </w:p>
        </w:tc>
      </w:tr>
      <w:tr w:rsidR="005B02EF" w:rsidTr="0037192A">
        <w:tc>
          <w:tcPr>
            <w:tcW w:w="1558" w:type="dxa"/>
          </w:tcPr>
          <w:p w:rsidR="005B02EF" w:rsidRDefault="005B02EF" w:rsidP="0037192A">
            <w:r>
              <w:t>0.50-1.00</w:t>
            </w:r>
          </w:p>
        </w:tc>
        <w:tc>
          <w:tcPr>
            <w:tcW w:w="1558" w:type="dxa"/>
          </w:tcPr>
          <w:p w:rsidR="005B02EF" w:rsidRDefault="005B02EF" w:rsidP="0037192A">
            <w:r>
              <w:t>3,623,186</w:t>
            </w:r>
          </w:p>
        </w:tc>
        <w:tc>
          <w:tcPr>
            <w:tcW w:w="1558" w:type="dxa"/>
          </w:tcPr>
          <w:p w:rsidR="005B02EF" w:rsidRDefault="005B02EF" w:rsidP="0037192A">
            <w:r>
              <w:t>24.2</w:t>
            </w:r>
          </w:p>
        </w:tc>
        <w:tc>
          <w:tcPr>
            <w:tcW w:w="1558" w:type="dxa"/>
          </w:tcPr>
          <w:p w:rsidR="005B02EF" w:rsidRDefault="005B02EF" w:rsidP="0037192A">
            <w:r>
              <w:t>2,192,139</w:t>
            </w:r>
          </w:p>
        </w:tc>
        <w:tc>
          <w:tcPr>
            <w:tcW w:w="1559" w:type="dxa"/>
          </w:tcPr>
          <w:p w:rsidR="005B02EF" w:rsidRDefault="005B02EF" w:rsidP="0037192A">
            <w:r>
              <w:t>15.7</w:t>
            </w:r>
          </w:p>
        </w:tc>
        <w:tc>
          <w:tcPr>
            <w:tcW w:w="1559" w:type="dxa"/>
          </w:tcPr>
          <w:p w:rsidR="005B02EF" w:rsidRDefault="005B02EF" w:rsidP="0037192A">
            <w:r>
              <w:t>14.2</w:t>
            </w:r>
          </w:p>
        </w:tc>
      </w:tr>
      <w:tr w:rsidR="005B02EF" w:rsidTr="0037192A">
        <w:tc>
          <w:tcPr>
            <w:tcW w:w="1558" w:type="dxa"/>
          </w:tcPr>
          <w:p w:rsidR="005B02EF" w:rsidRDefault="005B02EF" w:rsidP="0037192A">
            <w:r>
              <w:t>1.00-2.00</w:t>
            </w:r>
          </w:p>
        </w:tc>
        <w:tc>
          <w:tcPr>
            <w:tcW w:w="1558" w:type="dxa"/>
          </w:tcPr>
          <w:p w:rsidR="005B02EF" w:rsidRDefault="005B02EF" w:rsidP="0037192A">
            <w:r>
              <w:t>3,769,567</w:t>
            </w:r>
          </w:p>
        </w:tc>
        <w:tc>
          <w:tcPr>
            <w:tcW w:w="1558" w:type="dxa"/>
          </w:tcPr>
          <w:p w:rsidR="005B02EF" w:rsidRDefault="005B02EF" w:rsidP="0037192A">
            <w:r>
              <w:t>25.1</w:t>
            </w:r>
          </w:p>
        </w:tc>
        <w:tc>
          <w:tcPr>
            <w:tcW w:w="1558" w:type="dxa"/>
          </w:tcPr>
          <w:p w:rsidR="005B02EF" w:rsidRDefault="005B02EF" w:rsidP="0037192A">
            <w:r>
              <w:t>4,414,360</w:t>
            </w:r>
          </w:p>
        </w:tc>
        <w:tc>
          <w:tcPr>
            <w:tcW w:w="1559" w:type="dxa"/>
          </w:tcPr>
          <w:p w:rsidR="005B02EF" w:rsidRDefault="005B02EF" w:rsidP="0037192A">
            <w:r>
              <w:t>31.7</w:t>
            </w:r>
          </w:p>
        </w:tc>
        <w:tc>
          <w:tcPr>
            <w:tcW w:w="1559" w:type="dxa"/>
          </w:tcPr>
          <w:p w:rsidR="005B02EF" w:rsidRDefault="005B02EF" w:rsidP="0037192A">
            <w:r>
              <w:t>28.3</w:t>
            </w:r>
          </w:p>
        </w:tc>
      </w:tr>
      <w:tr w:rsidR="005B02EF" w:rsidTr="0037192A">
        <w:tc>
          <w:tcPr>
            <w:tcW w:w="1558" w:type="dxa"/>
          </w:tcPr>
          <w:p w:rsidR="005B02EF" w:rsidRDefault="005B02EF" w:rsidP="0037192A">
            <w:r>
              <w:t>2.00-5.00</w:t>
            </w:r>
          </w:p>
        </w:tc>
        <w:tc>
          <w:tcPr>
            <w:tcW w:w="1558" w:type="dxa"/>
          </w:tcPr>
          <w:p w:rsidR="005B02EF" w:rsidRDefault="005B02EF" w:rsidP="0037192A">
            <w:r>
              <w:t>2,291,342</w:t>
            </w:r>
          </w:p>
        </w:tc>
        <w:tc>
          <w:tcPr>
            <w:tcW w:w="1558" w:type="dxa"/>
          </w:tcPr>
          <w:p w:rsidR="005B02EF" w:rsidRDefault="005B02EF" w:rsidP="0037192A">
            <w:r>
              <w:t>15.3</w:t>
            </w:r>
          </w:p>
        </w:tc>
        <w:tc>
          <w:tcPr>
            <w:tcW w:w="1558" w:type="dxa"/>
          </w:tcPr>
          <w:p w:rsidR="005B02EF" w:rsidRDefault="005B02EF" w:rsidP="0037192A">
            <w:r>
              <w:t>5,224,614</w:t>
            </w:r>
          </w:p>
        </w:tc>
        <w:tc>
          <w:tcPr>
            <w:tcW w:w="1559" w:type="dxa"/>
          </w:tcPr>
          <w:p w:rsidR="005B02EF" w:rsidRDefault="005B02EF" w:rsidP="0037192A">
            <w:r>
              <w:t>37.5</w:t>
            </w:r>
          </w:p>
        </w:tc>
        <w:tc>
          <w:tcPr>
            <w:tcW w:w="1559" w:type="dxa"/>
          </w:tcPr>
          <w:p w:rsidR="005B02EF" w:rsidRDefault="005B02EF" w:rsidP="0037192A">
            <w:r>
              <w:t>33.7</w:t>
            </w:r>
          </w:p>
        </w:tc>
      </w:tr>
      <w:tr w:rsidR="005B02EF" w:rsidTr="0037192A">
        <w:tc>
          <w:tcPr>
            <w:tcW w:w="1558" w:type="dxa"/>
          </w:tcPr>
          <w:p w:rsidR="005B02EF" w:rsidRDefault="005B02EF" w:rsidP="0037192A">
            <w:r>
              <w:t>5.00-10.00</w:t>
            </w:r>
          </w:p>
        </w:tc>
        <w:tc>
          <w:tcPr>
            <w:tcW w:w="1558" w:type="dxa"/>
          </w:tcPr>
          <w:p w:rsidR="005B02EF" w:rsidRDefault="005B02EF" w:rsidP="0037192A">
            <w:r>
              <w:t xml:space="preserve">    222,239</w:t>
            </w:r>
          </w:p>
        </w:tc>
        <w:tc>
          <w:tcPr>
            <w:tcW w:w="1558" w:type="dxa"/>
          </w:tcPr>
          <w:p w:rsidR="005B02EF" w:rsidRDefault="005B02EF" w:rsidP="0037192A">
            <w:r>
              <w:t xml:space="preserve">  1.5</w:t>
            </w:r>
          </w:p>
        </w:tc>
        <w:tc>
          <w:tcPr>
            <w:tcW w:w="1558" w:type="dxa"/>
          </w:tcPr>
          <w:p w:rsidR="005B02EF" w:rsidRDefault="005B02EF" w:rsidP="0037192A">
            <w:r>
              <w:t xml:space="preserve"> 963,328</w:t>
            </w:r>
          </w:p>
        </w:tc>
        <w:tc>
          <w:tcPr>
            <w:tcW w:w="1559" w:type="dxa"/>
          </w:tcPr>
          <w:p w:rsidR="005B02EF" w:rsidRDefault="005B02EF" w:rsidP="0037192A">
            <w:r>
              <w:t xml:space="preserve"> 6.9</w:t>
            </w:r>
          </w:p>
        </w:tc>
        <w:tc>
          <w:tcPr>
            <w:tcW w:w="1559" w:type="dxa"/>
          </w:tcPr>
          <w:p w:rsidR="005B02EF" w:rsidRDefault="005B02EF" w:rsidP="0037192A">
            <w:r>
              <w:t xml:space="preserve"> 6.2</w:t>
            </w:r>
          </w:p>
        </w:tc>
      </w:tr>
      <w:tr w:rsidR="005B02EF" w:rsidTr="0037192A">
        <w:tc>
          <w:tcPr>
            <w:tcW w:w="1558" w:type="dxa"/>
          </w:tcPr>
          <w:p w:rsidR="005B02EF" w:rsidRDefault="005B02EF" w:rsidP="0037192A">
            <w:r>
              <w:t>Over 10</w:t>
            </w:r>
          </w:p>
        </w:tc>
        <w:tc>
          <w:tcPr>
            <w:tcW w:w="1558" w:type="dxa"/>
          </w:tcPr>
          <w:p w:rsidR="005B02EF" w:rsidRDefault="005B02EF" w:rsidP="0037192A">
            <w:r>
              <w:t xml:space="preserve">      16,176</w:t>
            </w:r>
          </w:p>
        </w:tc>
        <w:tc>
          <w:tcPr>
            <w:tcW w:w="1558" w:type="dxa"/>
          </w:tcPr>
          <w:p w:rsidR="005B02EF" w:rsidRDefault="005B02EF" w:rsidP="0037192A">
            <w:r>
              <w:t xml:space="preserve">  0.1</w:t>
            </w:r>
          </w:p>
        </w:tc>
        <w:tc>
          <w:tcPr>
            <w:tcW w:w="1558" w:type="dxa"/>
          </w:tcPr>
          <w:p w:rsidR="005B02EF" w:rsidRDefault="005B02EF" w:rsidP="0037192A">
            <w:r>
              <w:t xml:space="preserve"> 127,431</w:t>
            </w:r>
          </w:p>
        </w:tc>
        <w:tc>
          <w:tcPr>
            <w:tcW w:w="1559" w:type="dxa"/>
          </w:tcPr>
          <w:p w:rsidR="005B02EF" w:rsidRDefault="005B02EF" w:rsidP="0037192A">
            <w:r>
              <w:t xml:space="preserve"> 0.1</w:t>
            </w:r>
          </w:p>
        </w:tc>
        <w:tc>
          <w:tcPr>
            <w:tcW w:w="1559" w:type="dxa"/>
          </w:tcPr>
          <w:p w:rsidR="005B02EF" w:rsidRDefault="005B02EF" w:rsidP="0037192A">
            <w:r>
              <w:t xml:space="preserve"> 0.8</w:t>
            </w:r>
          </w:p>
        </w:tc>
      </w:tr>
      <w:tr w:rsidR="005B02EF" w:rsidTr="0037192A">
        <w:tc>
          <w:tcPr>
            <w:tcW w:w="1558" w:type="dxa"/>
          </w:tcPr>
          <w:p w:rsidR="005B02EF" w:rsidRDefault="005B02EF" w:rsidP="0037192A">
            <w:r>
              <w:t>Total</w:t>
            </w:r>
          </w:p>
        </w:tc>
        <w:tc>
          <w:tcPr>
            <w:tcW w:w="1558" w:type="dxa"/>
          </w:tcPr>
          <w:p w:rsidR="005B02EF" w:rsidRDefault="005B02EF" w:rsidP="0037192A">
            <w:r>
              <w:t>14,991,829</w:t>
            </w:r>
          </w:p>
        </w:tc>
        <w:tc>
          <w:tcPr>
            <w:tcW w:w="1558" w:type="dxa"/>
          </w:tcPr>
          <w:p w:rsidR="005B02EF" w:rsidRDefault="005B02EF" w:rsidP="0037192A">
            <w:r>
              <w:t>100</w:t>
            </w:r>
          </w:p>
        </w:tc>
        <w:tc>
          <w:tcPr>
            <w:tcW w:w="1558" w:type="dxa"/>
          </w:tcPr>
          <w:p w:rsidR="005B02EF" w:rsidRDefault="005B02EF" w:rsidP="0037192A">
            <w:r>
              <w:t>13,939,459</w:t>
            </w:r>
          </w:p>
        </w:tc>
        <w:tc>
          <w:tcPr>
            <w:tcW w:w="1559" w:type="dxa"/>
          </w:tcPr>
          <w:p w:rsidR="005B02EF" w:rsidRDefault="005B02EF" w:rsidP="0037192A">
            <w:r>
              <w:t>99.2</w:t>
            </w:r>
          </w:p>
        </w:tc>
        <w:tc>
          <w:tcPr>
            <w:tcW w:w="1559" w:type="dxa"/>
          </w:tcPr>
          <w:p w:rsidR="005B02EF" w:rsidRDefault="005B02EF" w:rsidP="0037192A">
            <w:r>
              <w:t>89.8</w:t>
            </w:r>
          </w:p>
        </w:tc>
      </w:tr>
      <w:tr w:rsidR="005B02EF" w:rsidTr="0037192A">
        <w:tc>
          <w:tcPr>
            <w:tcW w:w="1558" w:type="dxa"/>
          </w:tcPr>
          <w:p w:rsidR="005B02EF" w:rsidRDefault="005B02EF" w:rsidP="0037192A">
            <w:r>
              <w:t>Large Scale</w:t>
            </w:r>
          </w:p>
        </w:tc>
        <w:tc>
          <w:tcPr>
            <w:tcW w:w="1558" w:type="dxa"/>
          </w:tcPr>
          <w:p w:rsidR="005B02EF" w:rsidRDefault="005B02EF" w:rsidP="0037192A">
            <w:r>
              <w:t xml:space="preserve">          7,496 </w:t>
            </w:r>
          </w:p>
        </w:tc>
        <w:tc>
          <w:tcPr>
            <w:tcW w:w="1558" w:type="dxa"/>
          </w:tcPr>
          <w:p w:rsidR="005B02EF" w:rsidRDefault="005B02EF" w:rsidP="0037192A">
            <w:r>
              <w:t>0</w:t>
            </w:r>
          </w:p>
        </w:tc>
        <w:tc>
          <w:tcPr>
            <w:tcW w:w="1558" w:type="dxa"/>
          </w:tcPr>
          <w:p w:rsidR="005B02EF" w:rsidRDefault="005B02EF" w:rsidP="0037192A">
            <w:r>
              <w:t xml:space="preserve"> 1,548,828</w:t>
            </w:r>
          </w:p>
        </w:tc>
        <w:tc>
          <w:tcPr>
            <w:tcW w:w="1559" w:type="dxa"/>
          </w:tcPr>
          <w:p w:rsidR="005B02EF" w:rsidRDefault="005B02EF" w:rsidP="0037192A">
            <w:r>
              <w:t>-</w:t>
            </w:r>
          </w:p>
        </w:tc>
        <w:tc>
          <w:tcPr>
            <w:tcW w:w="1559" w:type="dxa"/>
          </w:tcPr>
          <w:p w:rsidR="005B02EF" w:rsidRDefault="005B02EF" w:rsidP="0037192A">
            <w:r>
              <w:t>10.0</w:t>
            </w:r>
          </w:p>
        </w:tc>
      </w:tr>
      <w:tr w:rsidR="005B02EF" w:rsidTr="0037192A">
        <w:tc>
          <w:tcPr>
            <w:tcW w:w="1558" w:type="dxa"/>
          </w:tcPr>
          <w:p w:rsidR="005B02EF" w:rsidRDefault="005B02EF" w:rsidP="0037192A">
            <w:r>
              <w:t>Total</w:t>
            </w:r>
          </w:p>
        </w:tc>
        <w:tc>
          <w:tcPr>
            <w:tcW w:w="1558" w:type="dxa"/>
          </w:tcPr>
          <w:p w:rsidR="005B02EF" w:rsidRDefault="005B02EF" w:rsidP="0037192A">
            <w:r>
              <w:t>14,999,324</w:t>
            </w:r>
          </w:p>
        </w:tc>
        <w:tc>
          <w:tcPr>
            <w:tcW w:w="1558" w:type="dxa"/>
          </w:tcPr>
          <w:p w:rsidR="005B02EF" w:rsidRDefault="005B02EF" w:rsidP="0037192A">
            <w:r>
              <w:t>100</w:t>
            </w:r>
          </w:p>
        </w:tc>
        <w:tc>
          <w:tcPr>
            <w:tcW w:w="1558" w:type="dxa"/>
          </w:tcPr>
          <w:p w:rsidR="005B02EF" w:rsidRDefault="005B02EF" w:rsidP="0037192A">
            <w:r>
              <w:t>15,488,281</w:t>
            </w:r>
          </w:p>
        </w:tc>
        <w:tc>
          <w:tcPr>
            <w:tcW w:w="1559" w:type="dxa"/>
          </w:tcPr>
          <w:p w:rsidR="005B02EF" w:rsidRDefault="005B02EF" w:rsidP="0037192A">
            <w:r>
              <w:t>-</w:t>
            </w:r>
          </w:p>
        </w:tc>
        <w:tc>
          <w:tcPr>
            <w:tcW w:w="1559" w:type="dxa"/>
          </w:tcPr>
          <w:p w:rsidR="005B02EF" w:rsidRDefault="005B02EF" w:rsidP="0037192A">
            <w:r>
              <w:t>99.8</w:t>
            </w:r>
          </w:p>
        </w:tc>
      </w:tr>
    </w:tbl>
    <w:p w:rsidR="005B02EF" w:rsidRDefault="005B02EF" w:rsidP="005B02EF">
      <w:r>
        <w:t>Source. Central Statistical Agency, sample survey 2012/</w:t>
      </w:r>
      <w:proofErr w:type="gramStart"/>
      <w:r>
        <w:t>13 .</w:t>
      </w:r>
      <w:proofErr w:type="gramEnd"/>
      <w:r>
        <w:t xml:space="preserve"> Some totals less than 100 due to rounding errors. Large scale farms only account for3.2 percent of cereals production.</w:t>
      </w:r>
    </w:p>
    <w:p w:rsidR="005B02EF" w:rsidRDefault="005B02EF" w:rsidP="005B02EF"/>
    <w:p w:rsidR="005B02EF" w:rsidRPr="00083258" w:rsidRDefault="005B02EF" w:rsidP="005B02EF">
      <w:pPr>
        <w:rPr>
          <w:b/>
          <w:sz w:val="32"/>
          <w:u w:val="single"/>
        </w:rPr>
      </w:pPr>
      <w:r w:rsidRPr="00BB3999">
        <w:rPr>
          <w:b/>
          <w:noProof/>
          <w:sz w:val="32"/>
          <w:u w:val="single"/>
        </w:rPr>
        <w:drawing>
          <wp:inline distT="0" distB="0" distL="0" distR="0" wp14:anchorId="07C1491E" wp14:editId="1D1EBA86">
            <wp:extent cx="6000750" cy="4874150"/>
            <wp:effectExtent l="0" t="0" r="0" b="317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02EF" w:rsidRDefault="005B02EF" w:rsidP="005B02EF">
      <w:r>
        <w:lastRenderedPageBreak/>
        <w:t xml:space="preserve">Source: Price data obtained from Ethiopia Grain Trade Enterprise (EGTE) and Consumer Price Index (CPI) from </w:t>
      </w:r>
      <w:r w:rsidRPr="003E055F">
        <w:t xml:space="preserve">Central Statistical </w:t>
      </w:r>
      <w:r>
        <w:t>Agency</w:t>
      </w:r>
      <w:r w:rsidRPr="003E055F">
        <w:t xml:space="preserve"> (CSA)</w:t>
      </w:r>
    </w:p>
    <w:p w:rsidR="005B02EF" w:rsidRDefault="005B02EF" w:rsidP="005B02EF">
      <w:r>
        <w:t xml:space="preserve">Note: Addis Ababa wholesale price considered as representative price and deflated by CPI (general consumer price index).  </w:t>
      </w:r>
    </w:p>
    <w:p w:rsidR="004961CC" w:rsidRPr="004961CC" w:rsidRDefault="004961CC" w:rsidP="00D17802">
      <w:pPr>
        <w:rPr>
          <w:u w:val="single"/>
        </w:rPr>
      </w:pPr>
    </w:p>
    <w:p w:rsidR="004961CC" w:rsidRDefault="004961CC" w:rsidP="00D17802"/>
    <w:p w:rsidR="005B02EF" w:rsidRPr="00092569" w:rsidRDefault="005B02EF" w:rsidP="005B02EF">
      <w:pPr>
        <w:tabs>
          <w:tab w:val="left" w:pos="3594"/>
        </w:tabs>
        <w:spacing w:after="0"/>
        <w:rPr>
          <w:sz w:val="4"/>
        </w:rPr>
      </w:pPr>
      <w:r w:rsidRPr="00A20499">
        <w:rPr>
          <w:noProof/>
          <w:sz w:val="20"/>
        </w:rPr>
        <w:drawing>
          <wp:inline distT="0" distB="0" distL="0" distR="0" wp14:anchorId="535F1C38" wp14:editId="02CA737A">
            <wp:extent cx="6262839" cy="3586038"/>
            <wp:effectExtent l="0" t="0" r="508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92569">
        <w:rPr>
          <w:sz w:val="4"/>
        </w:rPr>
        <w:tab/>
      </w:r>
    </w:p>
    <w:p w:rsidR="005B02EF" w:rsidRDefault="005B02EF" w:rsidP="005B02EF">
      <w:pPr>
        <w:spacing w:after="0"/>
      </w:pPr>
      <w:r w:rsidRPr="005A7A03">
        <w:t xml:space="preserve">Source: </w:t>
      </w:r>
      <w:r>
        <w:t xml:space="preserve">Federal Democratic Republic of Ethiopia, </w:t>
      </w:r>
      <w:r w:rsidRPr="005A7A03">
        <w:t>Ministry of Agriculture (2013)</w:t>
      </w:r>
      <w:r>
        <w:t xml:space="preserve">. Fertilizer Import, Consumption and Carryover Stock. Unpublished, from Department of Agricultural Input/output &amp; Finance. </w:t>
      </w:r>
    </w:p>
    <w:p w:rsidR="005B02EF" w:rsidRPr="00831602" w:rsidRDefault="005B02EF" w:rsidP="005B02EF">
      <w:pPr>
        <w:rPr>
          <w:sz w:val="20"/>
        </w:rPr>
      </w:pPr>
      <w:r w:rsidRPr="00002E01">
        <w:rPr>
          <w:sz w:val="20"/>
        </w:rPr>
        <w:t xml:space="preserve">Note: Consumption of this year is total fertilizer </w:t>
      </w:r>
      <w:r>
        <w:rPr>
          <w:sz w:val="20"/>
        </w:rPr>
        <w:t xml:space="preserve">available (import + left overstock) </w:t>
      </w:r>
      <w:r w:rsidRPr="00002E01">
        <w:rPr>
          <w:sz w:val="20"/>
        </w:rPr>
        <w:t xml:space="preserve">for this year minus leftover stock of </w:t>
      </w:r>
      <w:r>
        <w:rPr>
          <w:sz w:val="20"/>
        </w:rPr>
        <w:t xml:space="preserve">the year.  </w:t>
      </w:r>
    </w:p>
    <w:p w:rsidR="004961CC" w:rsidRPr="000014FC" w:rsidRDefault="004961CC" w:rsidP="00D17802"/>
    <w:p w:rsidR="000014FC" w:rsidRDefault="000014FC" w:rsidP="00D17802">
      <w:pPr>
        <w:rPr>
          <w:u w:val="single"/>
        </w:rPr>
      </w:pPr>
    </w:p>
    <w:p w:rsidR="000014FC" w:rsidRDefault="000014FC" w:rsidP="00D17802">
      <w:pPr>
        <w:rPr>
          <w:u w:val="single"/>
        </w:rPr>
      </w:pPr>
    </w:p>
    <w:p w:rsidR="000014FC" w:rsidRPr="000014FC" w:rsidRDefault="000014FC" w:rsidP="00D17802"/>
    <w:p w:rsidR="007D7D66" w:rsidRDefault="007D7D66" w:rsidP="00D17802"/>
    <w:p w:rsidR="007D7D66" w:rsidRDefault="007D7D66" w:rsidP="00D17802"/>
    <w:p w:rsidR="007D7D66" w:rsidRDefault="007D7D66" w:rsidP="00D17802"/>
    <w:p w:rsidR="007D7D66" w:rsidRDefault="007D7D66" w:rsidP="00D17802"/>
    <w:p w:rsidR="007D7D66" w:rsidRDefault="007D7D66" w:rsidP="00D17802"/>
    <w:p w:rsidR="007D7D66" w:rsidRPr="007D7D66" w:rsidRDefault="007D7D66" w:rsidP="00D17802"/>
    <w:p w:rsidR="007762F3" w:rsidRPr="007D7D66" w:rsidRDefault="007762F3" w:rsidP="00D17802"/>
    <w:p w:rsidR="00D17802" w:rsidRDefault="00512CB0" w:rsidP="00D17802">
      <w:r>
        <w:t xml:space="preserve"> </w:t>
      </w:r>
    </w:p>
    <w:sectPr w:rsidR="00D17802" w:rsidSect="00F2307A">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29" w:rsidRDefault="00953F29" w:rsidP="00294BDC">
      <w:pPr>
        <w:spacing w:after="0" w:line="240" w:lineRule="auto"/>
      </w:pPr>
      <w:r>
        <w:separator/>
      </w:r>
    </w:p>
  </w:endnote>
  <w:endnote w:type="continuationSeparator" w:id="0">
    <w:p w:rsidR="00953F29" w:rsidRDefault="00953F29" w:rsidP="0029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79219"/>
      <w:docPartObj>
        <w:docPartGallery w:val="Page Numbers (Bottom of Page)"/>
        <w:docPartUnique/>
      </w:docPartObj>
    </w:sdtPr>
    <w:sdtEndPr>
      <w:rPr>
        <w:noProof/>
      </w:rPr>
    </w:sdtEndPr>
    <w:sdtContent>
      <w:p w:rsidR="00BC5700" w:rsidRDefault="00BC5700">
        <w:pPr>
          <w:pStyle w:val="Footer"/>
          <w:jc w:val="center"/>
        </w:pPr>
        <w:r>
          <w:fldChar w:fldCharType="begin"/>
        </w:r>
        <w:r>
          <w:instrText xml:space="preserve"> PAGE   \* MERGEFORMAT </w:instrText>
        </w:r>
        <w:r>
          <w:fldChar w:fldCharType="separate"/>
        </w:r>
        <w:r w:rsidR="00D17D26">
          <w:rPr>
            <w:noProof/>
          </w:rPr>
          <w:t>1</w:t>
        </w:r>
        <w:r>
          <w:rPr>
            <w:noProof/>
          </w:rPr>
          <w:fldChar w:fldCharType="end"/>
        </w:r>
      </w:p>
    </w:sdtContent>
  </w:sdt>
  <w:p w:rsidR="00BC5700" w:rsidRDefault="00BC5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29" w:rsidRDefault="00953F29" w:rsidP="00294BDC">
      <w:pPr>
        <w:spacing w:after="0" w:line="240" w:lineRule="auto"/>
      </w:pPr>
      <w:r>
        <w:separator/>
      </w:r>
    </w:p>
  </w:footnote>
  <w:footnote w:type="continuationSeparator" w:id="0">
    <w:p w:rsidR="00953F29" w:rsidRDefault="00953F29" w:rsidP="00294BDC">
      <w:pPr>
        <w:spacing w:after="0" w:line="240" w:lineRule="auto"/>
      </w:pPr>
      <w:r>
        <w:continuationSeparator/>
      </w:r>
    </w:p>
  </w:footnote>
  <w:footnote w:id="1">
    <w:p w:rsidR="00BC5700" w:rsidRPr="007762F3" w:rsidRDefault="00BC5700" w:rsidP="008B150D">
      <w:pPr>
        <w:pStyle w:val="FootnoteText"/>
      </w:pPr>
      <w:r>
        <w:rPr>
          <w:rStyle w:val="FootnoteReference"/>
        </w:rPr>
        <w:footnoteRef/>
      </w:r>
      <w:r>
        <w:t xml:space="preserve"> Stuff, Richard, (2013) </w:t>
      </w:r>
      <w:r>
        <w:rPr>
          <w:u w:val="single"/>
        </w:rPr>
        <w:t>An Analysis of Ethiopian Crop Productivity Trends</w:t>
      </w:r>
      <w:r>
        <w:t>, available from John Mellor Associates, Inc. 801 Pennsylvania Ave NW, PH 18, Washington D.C. – and a yet to be determined website of CSA in Addis Ababa, Ethiopia.</w:t>
      </w:r>
    </w:p>
  </w:footnote>
  <w:footnote w:id="2">
    <w:p w:rsidR="00BC5700" w:rsidRDefault="00BC5700">
      <w:pPr>
        <w:pStyle w:val="FootnoteText"/>
      </w:pPr>
      <w:r>
        <w:rPr>
          <w:rStyle w:val="FootnoteReference"/>
        </w:rPr>
        <w:footnoteRef/>
      </w:r>
      <w:r>
        <w:t xml:space="preserve">  </w:t>
      </w:r>
      <w:r w:rsidRPr="00937D3C">
        <w:rPr>
          <w:sz w:val="24"/>
          <w:szCs w:val="24"/>
        </w:rPr>
        <w:t>The Sen Slope is a nonparametric method that calculates the change in the variable’s value vs. time (slope) for each succeeding point in the series and uses the median slope as the net magnitude of the trend.</w:t>
      </w:r>
      <w:r>
        <w:t xml:space="preserve">  Following is the source for the Wikipedia text on the Sen method </w:t>
      </w:r>
      <w:r w:rsidRPr="0024299A">
        <w:rPr>
          <w:color w:val="0000FF"/>
          <w:sz w:val="22"/>
          <w:szCs w:val="22"/>
          <w:u w:val="single"/>
        </w:rPr>
        <w:t>http://en.wikipedia.org/wiki/Theil%E2%80%93Sen_estimator</w:t>
      </w:r>
    </w:p>
  </w:footnote>
  <w:footnote w:id="3">
    <w:p w:rsidR="00BC5700" w:rsidRDefault="00BC5700" w:rsidP="00227871">
      <w:pPr>
        <w:pStyle w:val="FootnoteText"/>
      </w:pPr>
      <w:r>
        <w:rPr>
          <w:rStyle w:val="FootnoteReference"/>
        </w:rPr>
        <w:footnoteRef/>
      </w:r>
      <w:r>
        <w:t xml:space="preserve"> CAADP is the Africa wide strategy developed through a highly professional effort sponsored by the African Union and signed off on unanimously by the heads of state of all African countries (African Union 2010.) The concept, followed by Ethiopia, was that each country would use the CAADP as basis for a refined application to its own specific conditions.</w:t>
      </w:r>
    </w:p>
  </w:footnote>
  <w:footnote w:id="4">
    <w:p w:rsidR="00BC5700" w:rsidRDefault="00BC5700">
      <w:pPr>
        <w:pStyle w:val="FootnoteText"/>
      </w:pPr>
      <w:r>
        <w:rPr>
          <w:rStyle w:val="FootnoteReference"/>
        </w:rPr>
        <w:footnoteRef/>
      </w:r>
      <w:r>
        <w:t xml:space="preserve"> The Policy and Investment Framework (PIF) (2010) stated the policies and quantified the investments for the upcoming 10 year plan for agriculture.</w:t>
      </w:r>
    </w:p>
  </w:footnote>
  <w:footnote w:id="5">
    <w:p w:rsidR="00BC5700" w:rsidRDefault="00BC5700" w:rsidP="00227871">
      <w:pPr>
        <w:pStyle w:val="FootnoteText"/>
      </w:pPr>
      <w:r>
        <w:rPr>
          <w:rStyle w:val="FootnoteReference"/>
        </w:rPr>
        <w:footnoteRef/>
      </w:r>
      <w:r>
        <w:t xml:space="preserve">  See the extent of the initial infrastructure problems in rural Ethiopia in Minton </w:t>
      </w:r>
      <w:proofErr w:type="gramStart"/>
      <w:r>
        <w:t>et</w:t>
      </w:r>
      <w:proofErr w:type="gramEnd"/>
      <w:r w:rsidR="00F206B7">
        <w:t xml:space="preserve"> </w:t>
      </w:r>
      <w:r>
        <w:t xml:space="preserve">.al 2012b, an application to </w:t>
      </w:r>
      <w:proofErr w:type="spellStart"/>
      <w:r>
        <w:t>teff</w:t>
      </w:r>
      <w:proofErr w:type="spellEnd"/>
      <w:r>
        <w:t xml:space="preserve">, Minton et.al. 2012a. and the large impact of the road investment in agricultural modernization in Minton et.al. 2012c.) See also </w:t>
      </w:r>
      <w:proofErr w:type="spellStart"/>
      <w:r>
        <w:t>Dercon</w:t>
      </w:r>
      <w:proofErr w:type="spellEnd"/>
      <w:r>
        <w:t xml:space="preserve"> et.al. 2008</w:t>
      </w:r>
    </w:p>
  </w:footnote>
  <w:footnote w:id="6">
    <w:p w:rsidR="00BC5700" w:rsidRDefault="00BC5700" w:rsidP="009E50DE">
      <w:pPr>
        <w:pStyle w:val="FootnoteText"/>
      </w:pPr>
      <w:r>
        <w:rPr>
          <w:rStyle w:val="FootnoteReference"/>
        </w:rPr>
        <w:footnoteRef/>
      </w:r>
      <w:r>
        <w:t xml:space="preserve"> For a full analysis of the </w:t>
      </w:r>
      <w:proofErr w:type="spellStart"/>
      <w:r>
        <w:t>teff</w:t>
      </w:r>
      <w:proofErr w:type="spellEnd"/>
      <w:r>
        <w:t xml:space="preserve"> situation, see Minton </w:t>
      </w:r>
      <w:proofErr w:type="gramStart"/>
      <w:r>
        <w:t>et</w:t>
      </w:r>
      <w:proofErr w:type="gramEnd"/>
      <w:r>
        <w:t>. al. 2012</w:t>
      </w:r>
    </w:p>
  </w:footnote>
  <w:footnote w:id="7">
    <w:p w:rsidR="00BC5700" w:rsidRDefault="00BC5700">
      <w:pPr>
        <w:pStyle w:val="FootnoteText"/>
      </w:pPr>
      <w:r>
        <w:rPr>
          <w:rStyle w:val="FootnoteReference"/>
        </w:rPr>
        <w:footnoteRef/>
      </w:r>
      <w:r>
        <w:t xml:space="preserve"> Most African countries do not provide those essential services for rapid agricultural growth, leading to the conclusion e.g. Collier and </w:t>
      </w:r>
      <w:proofErr w:type="spellStart"/>
      <w:r>
        <w:t>Dercon</w:t>
      </w:r>
      <w:proofErr w:type="spellEnd"/>
      <w:r>
        <w:t xml:space="preserve"> (2014) that high growth rates require large scale farms. As pointed out later that emphasis results in very little impact of agricultural growth on poverty reduction and of course in most African countries large scale farms hardly exist and it is not made clear where they will come from –imported from the US?. Of course, all Asian countries got their agricultural growth largely from the small commercial farmers. Africa is seen by some as different because of the widespread failure to provide the essential public services to the small commercial farmer. Ethiopia is a striking exception to that.</w:t>
      </w:r>
    </w:p>
  </w:footnote>
  <w:footnote w:id="8">
    <w:p w:rsidR="00BC5700" w:rsidRDefault="00BC5700" w:rsidP="00BC0435">
      <w:pPr>
        <w:pStyle w:val="FootnoteText"/>
      </w:pPr>
      <w:r>
        <w:rPr>
          <w:rStyle w:val="FootnoteReference"/>
        </w:rPr>
        <w:footnoteRef/>
      </w:r>
      <w:r>
        <w:t xml:space="preserve"> That analysis of trends was an unsophisticated inspection of graphs and drawing trend lines from visual judgments, not the sophisticated approach reported here. Nevertheless the result was similar.</w:t>
      </w:r>
    </w:p>
  </w:footnote>
  <w:footnote w:id="9">
    <w:p w:rsidR="00BC5700" w:rsidRDefault="00BC5700" w:rsidP="00BC0435">
      <w:pPr>
        <w:pStyle w:val="FootnoteText"/>
      </w:pPr>
      <w:r>
        <w:rPr>
          <w:rStyle w:val="FootnoteReference"/>
        </w:rPr>
        <w:footnoteRef/>
      </w:r>
      <w:r>
        <w:t xml:space="preserve"> Focus Group studies for the </w:t>
      </w:r>
      <w:proofErr w:type="spellStart"/>
      <w:r>
        <w:t>AMDe</w:t>
      </w:r>
      <w:proofErr w:type="spellEnd"/>
      <w:r>
        <w:t xml:space="preserve"> USAID project corroborate this as do as yet unpublished IFPRI studies</w:t>
      </w:r>
    </w:p>
  </w:footnote>
  <w:footnote w:id="10">
    <w:p w:rsidR="00BC5700" w:rsidRDefault="00BC5700">
      <w:pPr>
        <w:pStyle w:val="FootnoteText"/>
      </w:pPr>
      <w:r>
        <w:rPr>
          <w:rStyle w:val="FootnoteReference"/>
        </w:rPr>
        <w:footnoteRef/>
      </w:r>
      <w:r>
        <w:t xml:space="preserve"> The extension system expanded to 63,000 extension agents. They were obviously poorly trained but IFPRI unpublished studies and the Focus Groups of the USAID/</w:t>
      </w:r>
      <w:proofErr w:type="spellStart"/>
      <w:r>
        <w:t>AMDe</w:t>
      </w:r>
      <w:proofErr w:type="spellEnd"/>
      <w:r>
        <w:t xml:space="preserve"> project consistently show that farmers had a good impression of the extension agents. Because the large number allowed them to be based at the </w:t>
      </w:r>
      <w:proofErr w:type="spellStart"/>
      <w:r>
        <w:t>Kebela</w:t>
      </w:r>
      <w:proofErr w:type="spellEnd"/>
      <w:r>
        <w:t xml:space="preserve"> level (the lowest administrative unit) they could in general walk to visit farms.</w:t>
      </w:r>
    </w:p>
  </w:footnote>
  <w:footnote w:id="11">
    <w:p w:rsidR="00BC5700" w:rsidRDefault="00BC5700">
      <w:pPr>
        <w:pStyle w:val="FootnoteText"/>
      </w:pPr>
      <w:r>
        <w:rPr>
          <w:rStyle w:val="FootnoteReference"/>
        </w:rPr>
        <w:footnoteRef/>
      </w:r>
      <w:r>
        <w:t xml:space="preserve"> See for example </w:t>
      </w:r>
      <w:proofErr w:type="spellStart"/>
      <w:r>
        <w:t>Timmer</w:t>
      </w:r>
      <w:proofErr w:type="spellEnd"/>
      <w:r>
        <w:t xml:space="preserve"> (1997) , </w:t>
      </w:r>
      <w:proofErr w:type="spellStart"/>
      <w:r>
        <w:t>Ravallion</w:t>
      </w:r>
      <w:proofErr w:type="spellEnd"/>
      <w:r>
        <w:t xml:space="preserve"> (2002), </w:t>
      </w:r>
      <w:proofErr w:type="spellStart"/>
      <w:r>
        <w:t>Thirtle</w:t>
      </w:r>
      <w:proofErr w:type="spellEnd"/>
      <w:r>
        <w:t xml:space="preserve">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10CD2"/>
    <w:multiLevelType w:val="hybridMultilevel"/>
    <w:tmpl w:val="BF7A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51859"/>
    <w:multiLevelType w:val="hybridMultilevel"/>
    <w:tmpl w:val="E6F6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32018"/>
    <w:multiLevelType w:val="hybridMultilevel"/>
    <w:tmpl w:val="FF82AB86"/>
    <w:lvl w:ilvl="0" w:tplc="BB8A4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B1CBF"/>
    <w:multiLevelType w:val="hybridMultilevel"/>
    <w:tmpl w:val="4AEC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957DE"/>
    <w:multiLevelType w:val="hybridMultilevel"/>
    <w:tmpl w:val="848C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51B32"/>
    <w:multiLevelType w:val="hybridMultilevel"/>
    <w:tmpl w:val="6C44C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90029"/>
    <w:multiLevelType w:val="hybridMultilevel"/>
    <w:tmpl w:val="736A0C1E"/>
    <w:lvl w:ilvl="0" w:tplc="FF1EB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DA08B5"/>
    <w:multiLevelType w:val="hybridMultilevel"/>
    <w:tmpl w:val="4AEC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570A3"/>
    <w:multiLevelType w:val="hybridMultilevel"/>
    <w:tmpl w:val="86FC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6374E"/>
    <w:multiLevelType w:val="hybridMultilevel"/>
    <w:tmpl w:val="3788BA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E70ED5"/>
    <w:multiLevelType w:val="hybridMultilevel"/>
    <w:tmpl w:val="C218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B2868"/>
    <w:multiLevelType w:val="hybridMultilevel"/>
    <w:tmpl w:val="3514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0"/>
  </w:num>
  <w:num w:numId="5">
    <w:abstractNumId w:val="5"/>
  </w:num>
  <w:num w:numId="6">
    <w:abstractNumId w:val="6"/>
  </w:num>
  <w:num w:numId="7">
    <w:abstractNumId w:val="11"/>
  </w:num>
  <w:num w:numId="8">
    <w:abstractNumId w:val="3"/>
  </w:num>
  <w:num w:numId="9">
    <w:abstractNumId w:val="1"/>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69"/>
    <w:rsid w:val="000014FC"/>
    <w:rsid w:val="00001EAE"/>
    <w:rsid w:val="00002840"/>
    <w:rsid w:val="000066E8"/>
    <w:rsid w:val="00013123"/>
    <w:rsid w:val="00024D5F"/>
    <w:rsid w:val="00024F6E"/>
    <w:rsid w:val="000277D8"/>
    <w:rsid w:val="000314DD"/>
    <w:rsid w:val="00034B5B"/>
    <w:rsid w:val="00037FC0"/>
    <w:rsid w:val="00044CB3"/>
    <w:rsid w:val="0005504E"/>
    <w:rsid w:val="00057F08"/>
    <w:rsid w:val="00060C66"/>
    <w:rsid w:val="000723D3"/>
    <w:rsid w:val="00077563"/>
    <w:rsid w:val="00080BAA"/>
    <w:rsid w:val="00083107"/>
    <w:rsid w:val="000839BD"/>
    <w:rsid w:val="00083EAB"/>
    <w:rsid w:val="00091AF3"/>
    <w:rsid w:val="00096C1D"/>
    <w:rsid w:val="000A10AA"/>
    <w:rsid w:val="000A28B2"/>
    <w:rsid w:val="000A7F81"/>
    <w:rsid w:val="000B10B1"/>
    <w:rsid w:val="000B5F4B"/>
    <w:rsid w:val="000E12BF"/>
    <w:rsid w:val="000E4E9C"/>
    <w:rsid w:val="000F03D9"/>
    <w:rsid w:val="000F62D1"/>
    <w:rsid w:val="00102040"/>
    <w:rsid w:val="00110F44"/>
    <w:rsid w:val="00115890"/>
    <w:rsid w:val="00115EC3"/>
    <w:rsid w:val="001252FC"/>
    <w:rsid w:val="00145D07"/>
    <w:rsid w:val="00164ED9"/>
    <w:rsid w:val="001702D4"/>
    <w:rsid w:val="00174DEF"/>
    <w:rsid w:val="001767D8"/>
    <w:rsid w:val="00181C81"/>
    <w:rsid w:val="00183DC9"/>
    <w:rsid w:val="001A35B9"/>
    <w:rsid w:val="001A67D0"/>
    <w:rsid w:val="001B546C"/>
    <w:rsid w:val="001B5668"/>
    <w:rsid w:val="001C58B6"/>
    <w:rsid w:val="001C704C"/>
    <w:rsid w:val="001E51EC"/>
    <w:rsid w:val="00204491"/>
    <w:rsid w:val="002159B3"/>
    <w:rsid w:val="00221A2C"/>
    <w:rsid w:val="0022585C"/>
    <w:rsid w:val="002276FE"/>
    <w:rsid w:val="00227871"/>
    <w:rsid w:val="002422CD"/>
    <w:rsid w:val="0024299A"/>
    <w:rsid w:val="002442ED"/>
    <w:rsid w:val="00252394"/>
    <w:rsid w:val="00273A55"/>
    <w:rsid w:val="00274833"/>
    <w:rsid w:val="002806FF"/>
    <w:rsid w:val="00293178"/>
    <w:rsid w:val="00294BDC"/>
    <w:rsid w:val="002961F7"/>
    <w:rsid w:val="002A2BE5"/>
    <w:rsid w:val="002B1A27"/>
    <w:rsid w:val="002C593E"/>
    <w:rsid w:val="002C6EB4"/>
    <w:rsid w:val="002D0AA4"/>
    <w:rsid w:val="002E5B3C"/>
    <w:rsid w:val="002F2D23"/>
    <w:rsid w:val="002F345C"/>
    <w:rsid w:val="00312B2E"/>
    <w:rsid w:val="00321907"/>
    <w:rsid w:val="00325762"/>
    <w:rsid w:val="00336D2F"/>
    <w:rsid w:val="00336D60"/>
    <w:rsid w:val="00341A04"/>
    <w:rsid w:val="00360824"/>
    <w:rsid w:val="003650A4"/>
    <w:rsid w:val="00365E3B"/>
    <w:rsid w:val="003744BE"/>
    <w:rsid w:val="00392E51"/>
    <w:rsid w:val="003943C0"/>
    <w:rsid w:val="0039781E"/>
    <w:rsid w:val="003A22A7"/>
    <w:rsid w:val="003B0DD9"/>
    <w:rsid w:val="003C204B"/>
    <w:rsid w:val="003D45D3"/>
    <w:rsid w:val="003D50FC"/>
    <w:rsid w:val="003D5F7A"/>
    <w:rsid w:val="003E6C8B"/>
    <w:rsid w:val="003F062C"/>
    <w:rsid w:val="003F4996"/>
    <w:rsid w:val="0040277C"/>
    <w:rsid w:val="004036B3"/>
    <w:rsid w:val="00411D43"/>
    <w:rsid w:val="00413552"/>
    <w:rsid w:val="0041439F"/>
    <w:rsid w:val="00416351"/>
    <w:rsid w:val="0041787C"/>
    <w:rsid w:val="00421109"/>
    <w:rsid w:val="004264C1"/>
    <w:rsid w:val="00440254"/>
    <w:rsid w:val="00445970"/>
    <w:rsid w:val="0044621B"/>
    <w:rsid w:val="00453A2C"/>
    <w:rsid w:val="004578DD"/>
    <w:rsid w:val="004672AF"/>
    <w:rsid w:val="00474FED"/>
    <w:rsid w:val="00476929"/>
    <w:rsid w:val="00484565"/>
    <w:rsid w:val="0049046C"/>
    <w:rsid w:val="004907D6"/>
    <w:rsid w:val="004913F7"/>
    <w:rsid w:val="00494F18"/>
    <w:rsid w:val="004961CC"/>
    <w:rsid w:val="00496A09"/>
    <w:rsid w:val="004A53BF"/>
    <w:rsid w:val="004B6C12"/>
    <w:rsid w:val="004E1980"/>
    <w:rsid w:val="004F3930"/>
    <w:rsid w:val="004F7555"/>
    <w:rsid w:val="0050078F"/>
    <w:rsid w:val="00504311"/>
    <w:rsid w:val="00512CB0"/>
    <w:rsid w:val="00521BE3"/>
    <w:rsid w:val="00527339"/>
    <w:rsid w:val="005343B8"/>
    <w:rsid w:val="00535F24"/>
    <w:rsid w:val="00544773"/>
    <w:rsid w:val="0054500F"/>
    <w:rsid w:val="0055251C"/>
    <w:rsid w:val="0056393B"/>
    <w:rsid w:val="005709FB"/>
    <w:rsid w:val="005740F7"/>
    <w:rsid w:val="0058116E"/>
    <w:rsid w:val="00581B69"/>
    <w:rsid w:val="005950FF"/>
    <w:rsid w:val="005A2FE6"/>
    <w:rsid w:val="005B02EF"/>
    <w:rsid w:val="005B21A4"/>
    <w:rsid w:val="005F0760"/>
    <w:rsid w:val="005F4169"/>
    <w:rsid w:val="005F4929"/>
    <w:rsid w:val="005F4FA1"/>
    <w:rsid w:val="006177A7"/>
    <w:rsid w:val="00626FE0"/>
    <w:rsid w:val="006417B7"/>
    <w:rsid w:val="006504E6"/>
    <w:rsid w:val="006531D1"/>
    <w:rsid w:val="00664264"/>
    <w:rsid w:val="0066660A"/>
    <w:rsid w:val="00673CEF"/>
    <w:rsid w:val="00681583"/>
    <w:rsid w:val="006836E4"/>
    <w:rsid w:val="006865F3"/>
    <w:rsid w:val="0069003E"/>
    <w:rsid w:val="006904AF"/>
    <w:rsid w:val="006B7AD7"/>
    <w:rsid w:val="006C5E2B"/>
    <w:rsid w:val="006D161D"/>
    <w:rsid w:val="006E0888"/>
    <w:rsid w:val="006E3A70"/>
    <w:rsid w:val="006E607A"/>
    <w:rsid w:val="006E69FE"/>
    <w:rsid w:val="006F37DD"/>
    <w:rsid w:val="00721010"/>
    <w:rsid w:val="00725413"/>
    <w:rsid w:val="007275FE"/>
    <w:rsid w:val="00734CED"/>
    <w:rsid w:val="007455DE"/>
    <w:rsid w:val="00751D90"/>
    <w:rsid w:val="00752564"/>
    <w:rsid w:val="007553F5"/>
    <w:rsid w:val="007722FD"/>
    <w:rsid w:val="00775E15"/>
    <w:rsid w:val="00775EBC"/>
    <w:rsid w:val="007762F3"/>
    <w:rsid w:val="007908F9"/>
    <w:rsid w:val="00791C60"/>
    <w:rsid w:val="00794E0B"/>
    <w:rsid w:val="007A692A"/>
    <w:rsid w:val="007B03C6"/>
    <w:rsid w:val="007B400D"/>
    <w:rsid w:val="007C2C13"/>
    <w:rsid w:val="007C425A"/>
    <w:rsid w:val="007D7226"/>
    <w:rsid w:val="007D7D66"/>
    <w:rsid w:val="007E473A"/>
    <w:rsid w:val="007E746A"/>
    <w:rsid w:val="007F3930"/>
    <w:rsid w:val="00804653"/>
    <w:rsid w:val="00810400"/>
    <w:rsid w:val="00813480"/>
    <w:rsid w:val="008224F0"/>
    <w:rsid w:val="00824FBA"/>
    <w:rsid w:val="00830BB1"/>
    <w:rsid w:val="008319A5"/>
    <w:rsid w:val="008366F1"/>
    <w:rsid w:val="00840C6E"/>
    <w:rsid w:val="00841FDA"/>
    <w:rsid w:val="00843D90"/>
    <w:rsid w:val="00845382"/>
    <w:rsid w:val="00853AD3"/>
    <w:rsid w:val="00863C14"/>
    <w:rsid w:val="008A2FF9"/>
    <w:rsid w:val="008A4C82"/>
    <w:rsid w:val="008A74EC"/>
    <w:rsid w:val="008B0A3B"/>
    <w:rsid w:val="008B150D"/>
    <w:rsid w:val="008C7BEC"/>
    <w:rsid w:val="008D0A1B"/>
    <w:rsid w:val="008D0BEB"/>
    <w:rsid w:val="008D3BDD"/>
    <w:rsid w:val="008D3F62"/>
    <w:rsid w:val="008E0597"/>
    <w:rsid w:val="008E2ED3"/>
    <w:rsid w:val="008E3D31"/>
    <w:rsid w:val="009044C2"/>
    <w:rsid w:val="00910647"/>
    <w:rsid w:val="00910D8F"/>
    <w:rsid w:val="009158A2"/>
    <w:rsid w:val="00920714"/>
    <w:rsid w:val="00921D5B"/>
    <w:rsid w:val="00953F29"/>
    <w:rsid w:val="009677F8"/>
    <w:rsid w:val="009711E9"/>
    <w:rsid w:val="0098275F"/>
    <w:rsid w:val="00984313"/>
    <w:rsid w:val="009A69B2"/>
    <w:rsid w:val="009C0DFE"/>
    <w:rsid w:val="009C4485"/>
    <w:rsid w:val="009D2DB4"/>
    <w:rsid w:val="009D752A"/>
    <w:rsid w:val="009E12BE"/>
    <w:rsid w:val="009E19E4"/>
    <w:rsid w:val="009E50DE"/>
    <w:rsid w:val="009F3865"/>
    <w:rsid w:val="009F4B16"/>
    <w:rsid w:val="009F7358"/>
    <w:rsid w:val="00A00B5A"/>
    <w:rsid w:val="00A05AEC"/>
    <w:rsid w:val="00A070FA"/>
    <w:rsid w:val="00A11C8A"/>
    <w:rsid w:val="00A13497"/>
    <w:rsid w:val="00A1613F"/>
    <w:rsid w:val="00A212FE"/>
    <w:rsid w:val="00A24466"/>
    <w:rsid w:val="00A24E1B"/>
    <w:rsid w:val="00A251FC"/>
    <w:rsid w:val="00A2662A"/>
    <w:rsid w:val="00A46438"/>
    <w:rsid w:val="00A4663F"/>
    <w:rsid w:val="00A52283"/>
    <w:rsid w:val="00A528DD"/>
    <w:rsid w:val="00A618D9"/>
    <w:rsid w:val="00A64A1B"/>
    <w:rsid w:val="00A7676B"/>
    <w:rsid w:val="00A826C7"/>
    <w:rsid w:val="00A91A6C"/>
    <w:rsid w:val="00AA6D00"/>
    <w:rsid w:val="00AB100B"/>
    <w:rsid w:val="00AB3982"/>
    <w:rsid w:val="00AB6B72"/>
    <w:rsid w:val="00AC2621"/>
    <w:rsid w:val="00AD441A"/>
    <w:rsid w:val="00AD50A7"/>
    <w:rsid w:val="00AD5E22"/>
    <w:rsid w:val="00AE38E7"/>
    <w:rsid w:val="00AE494F"/>
    <w:rsid w:val="00AE75E7"/>
    <w:rsid w:val="00AE7B29"/>
    <w:rsid w:val="00AF5BFC"/>
    <w:rsid w:val="00B02322"/>
    <w:rsid w:val="00B05D42"/>
    <w:rsid w:val="00B12408"/>
    <w:rsid w:val="00B21F89"/>
    <w:rsid w:val="00B23C69"/>
    <w:rsid w:val="00B32106"/>
    <w:rsid w:val="00B36DAD"/>
    <w:rsid w:val="00B40238"/>
    <w:rsid w:val="00B4780B"/>
    <w:rsid w:val="00B47A04"/>
    <w:rsid w:val="00B5082B"/>
    <w:rsid w:val="00B5286C"/>
    <w:rsid w:val="00B75228"/>
    <w:rsid w:val="00B76129"/>
    <w:rsid w:val="00B76F37"/>
    <w:rsid w:val="00B82536"/>
    <w:rsid w:val="00B85895"/>
    <w:rsid w:val="00B91FE8"/>
    <w:rsid w:val="00B95895"/>
    <w:rsid w:val="00BA1A44"/>
    <w:rsid w:val="00BA5EFD"/>
    <w:rsid w:val="00BA7AC6"/>
    <w:rsid w:val="00BB2878"/>
    <w:rsid w:val="00BB46E6"/>
    <w:rsid w:val="00BB5AA2"/>
    <w:rsid w:val="00BC0435"/>
    <w:rsid w:val="00BC31EC"/>
    <w:rsid w:val="00BC542D"/>
    <w:rsid w:val="00BC5700"/>
    <w:rsid w:val="00BD1EFC"/>
    <w:rsid w:val="00BD69AC"/>
    <w:rsid w:val="00BD7857"/>
    <w:rsid w:val="00BD7A4B"/>
    <w:rsid w:val="00BE1176"/>
    <w:rsid w:val="00BF69B7"/>
    <w:rsid w:val="00BF7048"/>
    <w:rsid w:val="00C162F0"/>
    <w:rsid w:val="00C4258A"/>
    <w:rsid w:val="00C51757"/>
    <w:rsid w:val="00C56594"/>
    <w:rsid w:val="00C7007B"/>
    <w:rsid w:val="00C935B8"/>
    <w:rsid w:val="00C94E37"/>
    <w:rsid w:val="00CB1724"/>
    <w:rsid w:val="00CB2DC6"/>
    <w:rsid w:val="00CC040C"/>
    <w:rsid w:val="00CC04A9"/>
    <w:rsid w:val="00CC3CB9"/>
    <w:rsid w:val="00CD0799"/>
    <w:rsid w:val="00CD3CF5"/>
    <w:rsid w:val="00CD4E08"/>
    <w:rsid w:val="00CD6B3B"/>
    <w:rsid w:val="00CF1287"/>
    <w:rsid w:val="00D02004"/>
    <w:rsid w:val="00D05632"/>
    <w:rsid w:val="00D06174"/>
    <w:rsid w:val="00D127B6"/>
    <w:rsid w:val="00D12F22"/>
    <w:rsid w:val="00D146FD"/>
    <w:rsid w:val="00D15AC5"/>
    <w:rsid w:val="00D16A33"/>
    <w:rsid w:val="00D17802"/>
    <w:rsid w:val="00D17D26"/>
    <w:rsid w:val="00D22B78"/>
    <w:rsid w:val="00D27F3A"/>
    <w:rsid w:val="00D43DFB"/>
    <w:rsid w:val="00D47A56"/>
    <w:rsid w:val="00D609F0"/>
    <w:rsid w:val="00D61372"/>
    <w:rsid w:val="00D645BE"/>
    <w:rsid w:val="00D739FA"/>
    <w:rsid w:val="00D744C6"/>
    <w:rsid w:val="00D81583"/>
    <w:rsid w:val="00D83028"/>
    <w:rsid w:val="00D84BEC"/>
    <w:rsid w:val="00D85BE0"/>
    <w:rsid w:val="00D87D9B"/>
    <w:rsid w:val="00D91808"/>
    <w:rsid w:val="00D943D9"/>
    <w:rsid w:val="00D96A8E"/>
    <w:rsid w:val="00DA08B3"/>
    <w:rsid w:val="00DB0217"/>
    <w:rsid w:val="00DB7DF9"/>
    <w:rsid w:val="00DC13F7"/>
    <w:rsid w:val="00DC2349"/>
    <w:rsid w:val="00DC5065"/>
    <w:rsid w:val="00DC76F6"/>
    <w:rsid w:val="00DD026A"/>
    <w:rsid w:val="00DD0776"/>
    <w:rsid w:val="00DE62AB"/>
    <w:rsid w:val="00DF72AD"/>
    <w:rsid w:val="00E00945"/>
    <w:rsid w:val="00E12814"/>
    <w:rsid w:val="00E164AB"/>
    <w:rsid w:val="00E219AB"/>
    <w:rsid w:val="00E351CA"/>
    <w:rsid w:val="00E35FE2"/>
    <w:rsid w:val="00E37056"/>
    <w:rsid w:val="00E51584"/>
    <w:rsid w:val="00E56BFE"/>
    <w:rsid w:val="00E65B92"/>
    <w:rsid w:val="00E83810"/>
    <w:rsid w:val="00E876B8"/>
    <w:rsid w:val="00E92943"/>
    <w:rsid w:val="00E96B8E"/>
    <w:rsid w:val="00EA0E53"/>
    <w:rsid w:val="00EB399C"/>
    <w:rsid w:val="00ED452D"/>
    <w:rsid w:val="00ED6E55"/>
    <w:rsid w:val="00ED70F1"/>
    <w:rsid w:val="00EE6BB7"/>
    <w:rsid w:val="00EF28EB"/>
    <w:rsid w:val="00EF6D74"/>
    <w:rsid w:val="00F0061A"/>
    <w:rsid w:val="00F058FD"/>
    <w:rsid w:val="00F11869"/>
    <w:rsid w:val="00F14082"/>
    <w:rsid w:val="00F206B7"/>
    <w:rsid w:val="00F2307A"/>
    <w:rsid w:val="00F30C86"/>
    <w:rsid w:val="00F32AB7"/>
    <w:rsid w:val="00F3300F"/>
    <w:rsid w:val="00F41357"/>
    <w:rsid w:val="00F60FCF"/>
    <w:rsid w:val="00F64CC4"/>
    <w:rsid w:val="00F7119B"/>
    <w:rsid w:val="00F76512"/>
    <w:rsid w:val="00F93FBC"/>
    <w:rsid w:val="00F9550C"/>
    <w:rsid w:val="00F956C8"/>
    <w:rsid w:val="00FA31DF"/>
    <w:rsid w:val="00FB4084"/>
    <w:rsid w:val="00FC079C"/>
    <w:rsid w:val="00FC41E7"/>
    <w:rsid w:val="00FC68CB"/>
    <w:rsid w:val="00FC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5552A-AFAD-4A34-A48C-21B6AFE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AA2"/>
    <w:pPr>
      <w:spacing w:before="480" w:after="0" w:line="276" w:lineRule="auto"/>
      <w:contextualSpacing/>
      <w:outlineLvl w:val="0"/>
    </w:pPr>
    <w:rPr>
      <w:rFonts w:ascii="Cambria" w:eastAsia="Times New Roman" w:hAnsi="Cambria" w:cs="Times New Roman"/>
      <w:smallCaps/>
      <w:spacing w:val="5"/>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BDC"/>
  </w:style>
  <w:style w:type="paragraph" w:styleId="Footer">
    <w:name w:val="footer"/>
    <w:basedOn w:val="Normal"/>
    <w:link w:val="FooterChar"/>
    <w:uiPriority w:val="99"/>
    <w:unhideWhenUsed/>
    <w:rsid w:val="0029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BDC"/>
  </w:style>
  <w:style w:type="paragraph" w:styleId="FootnoteText">
    <w:name w:val="footnote text"/>
    <w:aliases w:val="Footnote,Geneva 9,Font: Geneva 9,Boston 10,f,DSE note"/>
    <w:basedOn w:val="Normal"/>
    <w:link w:val="FootnoteTextChar"/>
    <w:unhideWhenUsed/>
    <w:rsid w:val="00294BDC"/>
    <w:pPr>
      <w:spacing w:after="0" w:line="240" w:lineRule="auto"/>
    </w:pPr>
    <w:rPr>
      <w:sz w:val="20"/>
      <w:szCs w:val="20"/>
    </w:rPr>
  </w:style>
  <w:style w:type="character" w:customStyle="1" w:styleId="FootnoteTextChar">
    <w:name w:val="Footnote Text Char"/>
    <w:aliases w:val="Footnote Char,Geneva 9 Char,Font: Geneva 9 Char,Boston 10 Char,f Char,DSE note Char"/>
    <w:basedOn w:val="DefaultParagraphFont"/>
    <w:link w:val="FootnoteText"/>
    <w:rsid w:val="00294BDC"/>
    <w:rPr>
      <w:sz w:val="20"/>
      <w:szCs w:val="20"/>
    </w:rPr>
  </w:style>
  <w:style w:type="character" w:styleId="FootnoteReference">
    <w:name w:val="footnote reference"/>
    <w:basedOn w:val="DefaultParagraphFont"/>
    <w:unhideWhenUsed/>
    <w:rsid w:val="00294BDC"/>
    <w:rPr>
      <w:vertAlign w:val="superscript"/>
    </w:rPr>
  </w:style>
  <w:style w:type="paragraph" w:styleId="ListParagraph">
    <w:name w:val="List Paragraph"/>
    <w:basedOn w:val="Normal"/>
    <w:uiPriority w:val="34"/>
    <w:qFormat/>
    <w:rsid w:val="00D85BE0"/>
    <w:pPr>
      <w:ind w:left="720"/>
      <w:contextualSpacing/>
    </w:pPr>
  </w:style>
  <w:style w:type="table" w:styleId="TableGrid">
    <w:name w:val="Table Grid"/>
    <w:basedOn w:val="TableNormal"/>
    <w:uiPriority w:val="39"/>
    <w:rsid w:val="00F1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1A04"/>
    <w:rPr>
      <w:color w:val="0000FF"/>
      <w:u w:val="single"/>
    </w:rPr>
  </w:style>
  <w:style w:type="paragraph" w:styleId="NormalWeb">
    <w:name w:val="Normal (Web)"/>
    <w:basedOn w:val="Normal"/>
    <w:uiPriority w:val="99"/>
    <w:rsid w:val="008D0B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D0BE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D0BE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5AA2"/>
    <w:rPr>
      <w:rFonts w:ascii="Cambria" w:eastAsia="Times New Roman" w:hAnsi="Cambria" w:cs="Times New Roman"/>
      <w:smallCaps/>
      <w:spacing w:val="5"/>
      <w:sz w:val="36"/>
      <w:szCs w:val="36"/>
      <w:lang w:bidi="en-US"/>
    </w:rPr>
  </w:style>
  <w:style w:type="paragraph" w:styleId="BalloonText">
    <w:name w:val="Balloon Text"/>
    <w:basedOn w:val="Normal"/>
    <w:link w:val="BalloonTextChar"/>
    <w:uiPriority w:val="99"/>
    <w:semiHidden/>
    <w:unhideWhenUsed/>
    <w:rsid w:val="008A7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EC"/>
    <w:rPr>
      <w:rFonts w:ascii="Segoe UI" w:hAnsi="Segoe UI" w:cs="Segoe UI"/>
      <w:sz w:val="18"/>
      <w:szCs w:val="18"/>
    </w:rPr>
  </w:style>
  <w:style w:type="paragraph" w:styleId="NoSpacing">
    <w:name w:val="No Spacing"/>
    <w:uiPriority w:val="1"/>
    <w:qFormat/>
    <w:rsid w:val="00595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39512">
      <w:bodyDiv w:val="1"/>
      <w:marLeft w:val="0"/>
      <w:marRight w:val="0"/>
      <w:marTop w:val="0"/>
      <w:marBottom w:val="0"/>
      <w:divBdr>
        <w:top w:val="none" w:sz="0" w:space="0" w:color="auto"/>
        <w:left w:val="none" w:sz="0" w:space="0" w:color="auto"/>
        <w:bottom w:val="none" w:sz="0" w:space="0" w:color="auto"/>
        <w:right w:val="none" w:sz="0" w:space="0" w:color="auto"/>
      </w:divBdr>
    </w:div>
    <w:div w:id="14983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RESEARCH%20WORKS%20XXX\JOHN%20MA%20Inc\JMA%20Assignment%20%232\Deliverable%20%232\Sent%20for%20John%20Aug17\Nominal%20and%20real%20prcie%20for%20major%20cereals%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RESEARCH%20WORKS%20XXX\JOHN%20MA%20Inc\JMA%20Assignment%20%232\Deliverable%20%232\FINAL%20PAPERS\FERTILISER%20DATA%20FROM%20MOA_%202013%20_%20f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1. Real price trends of major cereals (deflated by CPI) </a:t>
            </a:r>
          </a:p>
        </c:rich>
      </c:tx>
      <c:overlay val="1"/>
    </c:title>
    <c:autoTitleDeleted val="0"/>
    <c:plotArea>
      <c:layout>
        <c:manualLayout>
          <c:layoutTarget val="inner"/>
          <c:xMode val="edge"/>
          <c:yMode val="edge"/>
          <c:x val="0.11027867593535763"/>
          <c:y val="8.6014238583790106E-2"/>
          <c:w val="0.86922982401944582"/>
          <c:h val="0.78946257296143896"/>
        </c:manualLayout>
      </c:layout>
      <c:lineChart>
        <c:grouping val="standard"/>
        <c:varyColors val="0"/>
        <c:ser>
          <c:idx val="0"/>
          <c:order val="0"/>
          <c:tx>
            <c:strRef>
              <c:f>'Final real price'!$O$5</c:f>
              <c:strCache>
                <c:ptCount val="1"/>
                <c:pt idx="0">
                  <c:v>Teff</c:v>
                </c:pt>
              </c:strCache>
            </c:strRef>
          </c:tx>
          <c:marker>
            <c:symbol val="circle"/>
            <c:size val="3"/>
          </c:marker>
          <c:trendline>
            <c:spPr>
              <a:ln w="12700" cap="flat">
                <a:prstDash val="lgDashDotDot"/>
                <a:tailEnd type="arrow"/>
              </a:ln>
            </c:spPr>
            <c:trendlineType val="linear"/>
            <c:dispRSqr val="0"/>
            <c:dispEq val="0"/>
          </c:trendline>
          <c:cat>
            <c:numRef>
              <c:f>'Final real price'!$N$30:$N$143</c:f>
              <c:numCache>
                <c:formatCode>mmm\-yy</c:formatCode>
                <c:ptCount val="114"/>
                <c:pt idx="0">
                  <c:v>38169</c:v>
                </c:pt>
                <c:pt idx="1">
                  <c:v>38200</c:v>
                </c:pt>
                <c:pt idx="2">
                  <c:v>38231</c:v>
                </c:pt>
                <c:pt idx="3">
                  <c:v>38261</c:v>
                </c:pt>
                <c:pt idx="4">
                  <c:v>38292</c:v>
                </c:pt>
                <c:pt idx="5">
                  <c:v>38322</c:v>
                </c:pt>
                <c:pt idx="6">
                  <c:v>38353</c:v>
                </c:pt>
                <c:pt idx="7">
                  <c:v>38384</c:v>
                </c:pt>
                <c:pt idx="8">
                  <c:v>38412</c:v>
                </c:pt>
                <c:pt idx="9">
                  <c:v>38443</c:v>
                </c:pt>
                <c:pt idx="10">
                  <c:v>38473</c:v>
                </c:pt>
                <c:pt idx="11">
                  <c:v>38504</c:v>
                </c:pt>
                <c:pt idx="12">
                  <c:v>38534</c:v>
                </c:pt>
                <c:pt idx="13">
                  <c:v>38565</c:v>
                </c:pt>
                <c:pt idx="14">
                  <c:v>38596</c:v>
                </c:pt>
                <c:pt idx="15">
                  <c:v>38626</c:v>
                </c:pt>
                <c:pt idx="16">
                  <c:v>38657</c:v>
                </c:pt>
                <c:pt idx="17">
                  <c:v>38687</c:v>
                </c:pt>
                <c:pt idx="18">
                  <c:v>38718</c:v>
                </c:pt>
                <c:pt idx="19">
                  <c:v>38749</c:v>
                </c:pt>
                <c:pt idx="20">
                  <c:v>38777</c:v>
                </c:pt>
                <c:pt idx="21">
                  <c:v>38808</c:v>
                </c:pt>
                <c:pt idx="22">
                  <c:v>38838</c:v>
                </c:pt>
                <c:pt idx="23">
                  <c:v>38869</c:v>
                </c:pt>
                <c:pt idx="24">
                  <c:v>38899</c:v>
                </c:pt>
                <c:pt idx="25">
                  <c:v>38930</c:v>
                </c:pt>
                <c:pt idx="26">
                  <c:v>38961</c:v>
                </c:pt>
                <c:pt idx="27">
                  <c:v>38991</c:v>
                </c:pt>
                <c:pt idx="28">
                  <c:v>39022</c:v>
                </c:pt>
                <c:pt idx="29">
                  <c:v>39052</c:v>
                </c:pt>
                <c:pt idx="30">
                  <c:v>39083</c:v>
                </c:pt>
                <c:pt idx="31">
                  <c:v>39114</c:v>
                </c:pt>
                <c:pt idx="32">
                  <c:v>39142</c:v>
                </c:pt>
                <c:pt idx="33">
                  <c:v>39173</c:v>
                </c:pt>
                <c:pt idx="34">
                  <c:v>39203</c:v>
                </c:pt>
                <c:pt idx="35">
                  <c:v>39234</c:v>
                </c:pt>
                <c:pt idx="36">
                  <c:v>39264</c:v>
                </c:pt>
                <c:pt idx="37">
                  <c:v>39295</c:v>
                </c:pt>
                <c:pt idx="38">
                  <c:v>39326</c:v>
                </c:pt>
                <c:pt idx="39">
                  <c:v>39356</c:v>
                </c:pt>
                <c:pt idx="40">
                  <c:v>39387</c:v>
                </c:pt>
                <c:pt idx="41">
                  <c:v>39417</c:v>
                </c:pt>
                <c:pt idx="42">
                  <c:v>39448</c:v>
                </c:pt>
                <c:pt idx="43">
                  <c:v>39479</c:v>
                </c:pt>
                <c:pt idx="44">
                  <c:v>39508</c:v>
                </c:pt>
                <c:pt idx="45">
                  <c:v>39539</c:v>
                </c:pt>
                <c:pt idx="46">
                  <c:v>39569</c:v>
                </c:pt>
                <c:pt idx="47">
                  <c:v>39600</c:v>
                </c:pt>
                <c:pt idx="48">
                  <c:v>39630</c:v>
                </c:pt>
                <c:pt idx="49">
                  <c:v>39661</c:v>
                </c:pt>
                <c:pt idx="50">
                  <c:v>39692</c:v>
                </c:pt>
                <c:pt idx="51">
                  <c:v>39722</c:v>
                </c:pt>
                <c:pt idx="52">
                  <c:v>39753</c:v>
                </c:pt>
                <c:pt idx="53">
                  <c:v>39783</c:v>
                </c:pt>
                <c:pt idx="54">
                  <c:v>39814</c:v>
                </c:pt>
                <c:pt idx="55">
                  <c:v>39845</c:v>
                </c:pt>
                <c:pt idx="56">
                  <c:v>39873</c:v>
                </c:pt>
                <c:pt idx="57">
                  <c:v>39904</c:v>
                </c:pt>
                <c:pt idx="58">
                  <c:v>39934</c:v>
                </c:pt>
                <c:pt idx="59">
                  <c:v>39965</c:v>
                </c:pt>
                <c:pt idx="60">
                  <c:v>39995</c:v>
                </c:pt>
                <c:pt idx="61">
                  <c:v>40026</c:v>
                </c:pt>
                <c:pt idx="62">
                  <c:v>40057</c:v>
                </c:pt>
                <c:pt idx="63">
                  <c:v>40087</c:v>
                </c:pt>
                <c:pt idx="64">
                  <c:v>40118</c:v>
                </c:pt>
                <c:pt idx="65">
                  <c:v>40148</c:v>
                </c:pt>
                <c:pt idx="66">
                  <c:v>40179</c:v>
                </c:pt>
                <c:pt idx="67">
                  <c:v>40210</c:v>
                </c:pt>
                <c:pt idx="68">
                  <c:v>40238</c:v>
                </c:pt>
                <c:pt idx="69">
                  <c:v>40269</c:v>
                </c:pt>
                <c:pt idx="70">
                  <c:v>40299</c:v>
                </c:pt>
                <c:pt idx="71">
                  <c:v>40330</c:v>
                </c:pt>
                <c:pt idx="72">
                  <c:v>40360</c:v>
                </c:pt>
                <c:pt idx="73">
                  <c:v>40391</c:v>
                </c:pt>
                <c:pt idx="74">
                  <c:v>40422</c:v>
                </c:pt>
                <c:pt idx="75">
                  <c:v>40452</c:v>
                </c:pt>
                <c:pt idx="76">
                  <c:v>40483</c:v>
                </c:pt>
                <c:pt idx="77">
                  <c:v>40513</c:v>
                </c:pt>
                <c:pt idx="78">
                  <c:v>40544</c:v>
                </c:pt>
                <c:pt idx="79">
                  <c:v>40575</c:v>
                </c:pt>
                <c:pt idx="80">
                  <c:v>40603</c:v>
                </c:pt>
                <c:pt idx="81">
                  <c:v>40634</c:v>
                </c:pt>
                <c:pt idx="82">
                  <c:v>40664</c:v>
                </c:pt>
                <c:pt idx="83">
                  <c:v>40695</c:v>
                </c:pt>
                <c:pt idx="84">
                  <c:v>40725</c:v>
                </c:pt>
                <c:pt idx="85">
                  <c:v>40756</c:v>
                </c:pt>
                <c:pt idx="86">
                  <c:v>40787</c:v>
                </c:pt>
                <c:pt idx="87">
                  <c:v>40817</c:v>
                </c:pt>
                <c:pt idx="88">
                  <c:v>40848</c:v>
                </c:pt>
                <c:pt idx="89">
                  <c:v>40878</c:v>
                </c:pt>
                <c:pt idx="90">
                  <c:v>40909</c:v>
                </c:pt>
                <c:pt idx="91">
                  <c:v>40940</c:v>
                </c:pt>
                <c:pt idx="92">
                  <c:v>40969</c:v>
                </c:pt>
                <c:pt idx="93">
                  <c:v>41000</c:v>
                </c:pt>
                <c:pt idx="94">
                  <c:v>41030</c:v>
                </c:pt>
                <c:pt idx="95">
                  <c:v>41061</c:v>
                </c:pt>
                <c:pt idx="96">
                  <c:v>41091</c:v>
                </c:pt>
                <c:pt idx="97">
                  <c:v>41122</c:v>
                </c:pt>
                <c:pt idx="98">
                  <c:v>41153</c:v>
                </c:pt>
                <c:pt idx="99">
                  <c:v>41183</c:v>
                </c:pt>
                <c:pt idx="100">
                  <c:v>41214</c:v>
                </c:pt>
                <c:pt idx="101">
                  <c:v>41244</c:v>
                </c:pt>
                <c:pt idx="102">
                  <c:v>41275</c:v>
                </c:pt>
                <c:pt idx="103">
                  <c:v>41306</c:v>
                </c:pt>
                <c:pt idx="104">
                  <c:v>41334</c:v>
                </c:pt>
                <c:pt idx="105">
                  <c:v>41365</c:v>
                </c:pt>
                <c:pt idx="106">
                  <c:v>41395</c:v>
                </c:pt>
                <c:pt idx="107">
                  <c:v>41426</c:v>
                </c:pt>
                <c:pt idx="108">
                  <c:v>41456</c:v>
                </c:pt>
                <c:pt idx="109">
                  <c:v>41487</c:v>
                </c:pt>
                <c:pt idx="110">
                  <c:v>41518</c:v>
                </c:pt>
                <c:pt idx="111">
                  <c:v>41548</c:v>
                </c:pt>
                <c:pt idx="112">
                  <c:v>41579</c:v>
                </c:pt>
                <c:pt idx="113">
                  <c:v>41609</c:v>
                </c:pt>
              </c:numCache>
            </c:numRef>
          </c:cat>
          <c:val>
            <c:numRef>
              <c:f>'Final real price'!$O$30:$O$143</c:f>
              <c:numCache>
                <c:formatCode>0</c:formatCode>
                <c:ptCount val="114"/>
                <c:pt idx="0">
                  <c:v>352.00722673893409</c:v>
                </c:pt>
                <c:pt idx="1">
                  <c:v>371.09355131698436</c:v>
                </c:pt>
                <c:pt idx="2">
                  <c:v>349.06266548985025</c:v>
                </c:pt>
                <c:pt idx="3">
                  <c:v>352.91262135922335</c:v>
                </c:pt>
                <c:pt idx="4">
                  <c:v>351.93992932862193</c:v>
                </c:pt>
                <c:pt idx="5">
                  <c:v>341.5868794326239</c:v>
                </c:pt>
                <c:pt idx="6">
                  <c:v>338.49735449735414</c:v>
                </c:pt>
                <c:pt idx="7">
                  <c:v>337.62811387900354</c:v>
                </c:pt>
                <c:pt idx="8">
                  <c:v>335.0466138962181</c:v>
                </c:pt>
                <c:pt idx="9">
                  <c:v>341.37391304347824</c:v>
                </c:pt>
                <c:pt idx="10">
                  <c:v>365.3899480069324</c:v>
                </c:pt>
                <c:pt idx="11">
                  <c:v>358.55442176870758</c:v>
                </c:pt>
                <c:pt idx="12">
                  <c:v>359.20910623946048</c:v>
                </c:pt>
                <c:pt idx="13">
                  <c:v>358.03839732888127</c:v>
                </c:pt>
                <c:pt idx="14">
                  <c:v>361.69154228855723</c:v>
                </c:pt>
                <c:pt idx="15">
                  <c:v>348.14084507042287</c:v>
                </c:pt>
                <c:pt idx="16">
                  <c:v>353.8066666666669</c:v>
                </c:pt>
                <c:pt idx="17">
                  <c:v>358.37178423236531</c:v>
                </c:pt>
                <c:pt idx="18">
                  <c:v>376.74006622516572</c:v>
                </c:pt>
                <c:pt idx="19">
                  <c:v>369.08326596604689</c:v>
                </c:pt>
                <c:pt idx="20">
                  <c:v>362.3311897106106</c:v>
                </c:pt>
                <c:pt idx="21">
                  <c:v>386.49159327461928</c:v>
                </c:pt>
                <c:pt idx="22">
                  <c:v>425.31201248049899</c:v>
                </c:pt>
                <c:pt idx="23">
                  <c:v>407.7759398496238</c:v>
                </c:pt>
                <c:pt idx="24">
                  <c:v>410.35111111111115</c:v>
                </c:pt>
                <c:pt idx="25">
                  <c:v>439.48288419519298</c:v>
                </c:pt>
                <c:pt idx="26">
                  <c:v>451.69845722300141</c:v>
                </c:pt>
                <c:pt idx="27">
                  <c:v>428.65328719723209</c:v>
                </c:pt>
                <c:pt idx="28">
                  <c:v>437.10435383552198</c:v>
                </c:pt>
                <c:pt idx="29">
                  <c:v>429</c:v>
                </c:pt>
                <c:pt idx="30">
                  <c:v>423.88059701492534</c:v>
                </c:pt>
                <c:pt idx="31">
                  <c:v>431.23772102161075</c:v>
                </c:pt>
                <c:pt idx="32">
                  <c:v>414.53831041257314</c:v>
                </c:pt>
                <c:pt idx="33">
                  <c:v>417.953667953668</c:v>
                </c:pt>
                <c:pt idx="34">
                  <c:v>440.53282588011422</c:v>
                </c:pt>
                <c:pt idx="35">
                  <c:v>436.04108309990693</c:v>
                </c:pt>
                <c:pt idx="36">
                  <c:v>433.66880146386126</c:v>
                </c:pt>
                <c:pt idx="37">
                  <c:v>432.55395683453236</c:v>
                </c:pt>
                <c:pt idx="38">
                  <c:v>425.79505300353355</c:v>
                </c:pt>
                <c:pt idx="39">
                  <c:v>421.23893805309706</c:v>
                </c:pt>
                <c:pt idx="40">
                  <c:v>426.65474060822902</c:v>
                </c:pt>
                <c:pt idx="41">
                  <c:v>410.23417172593224</c:v>
                </c:pt>
                <c:pt idx="42">
                  <c:v>415.94827586206895</c:v>
                </c:pt>
                <c:pt idx="43">
                  <c:v>392.79869067103112</c:v>
                </c:pt>
                <c:pt idx="44">
                  <c:v>393.21511179645324</c:v>
                </c:pt>
                <c:pt idx="45">
                  <c:v>529.54719877206389</c:v>
                </c:pt>
                <c:pt idx="46">
                  <c:v>615.35714285714289</c:v>
                </c:pt>
                <c:pt idx="47">
                  <c:v>613.54533317150151</c:v>
                </c:pt>
                <c:pt idx="48">
                  <c:v>612.61261261261257</c:v>
                </c:pt>
                <c:pt idx="49">
                  <c:v>606.64112388250237</c:v>
                </c:pt>
                <c:pt idx="50">
                  <c:v>608.36501901140616</c:v>
                </c:pt>
                <c:pt idx="51">
                  <c:v>581.46766169154159</c:v>
                </c:pt>
                <c:pt idx="52">
                  <c:v>621.1646837820914</c:v>
                </c:pt>
                <c:pt idx="53">
                  <c:v>561.29032258064581</c:v>
                </c:pt>
                <c:pt idx="54">
                  <c:v>627.9373368146214</c:v>
                </c:pt>
                <c:pt idx="55">
                  <c:v>609.67741935483866</c:v>
                </c:pt>
                <c:pt idx="56">
                  <c:v>600.2554278416344</c:v>
                </c:pt>
                <c:pt idx="57">
                  <c:v>550.94339622641553</c:v>
                </c:pt>
                <c:pt idx="58">
                  <c:v>562.88916562889165</c:v>
                </c:pt>
                <c:pt idx="59">
                  <c:v>590.79601990049753</c:v>
                </c:pt>
                <c:pt idx="60">
                  <c:v>579.26829268292647</c:v>
                </c:pt>
                <c:pt idx="61">
                  <c:v>553.88320288982538</c:v>
                </c:pt>
                <c:pt idx="62">
                  <c:v>545.87688734030246</c:v>
                </c:pt>
                <c:pt idx="63">
                  <c:v>549.45054945054949</c:v>
                </c:pt>
                <c:pt idx="64">
                  <c:v>543.98148148148141</c:v>
                </c:pt>
                <c:pt idx="65">
                  <c:v>520.65154159394945</c:v>
                </c:pt>
                <c:pt idx="66">
                  <c:v>523.14001171646169</c:v>
                </c:pt>
                <c:pt idx="67">
                  <c:v>510.72463768115944</c:v>
                </c:pt>
                <c:pt idx="68">
                  <c:v>485.69794050343268</c:v>
                </c:pt>
                <c:pt idx="69">
                  <c:v>478.6995515695067</c:v>
                </c:pt>
                <c:pt idx="70">
                  <c:v>462.13377556661129</c:v>
                </c:pt>
                <c:pt idx="71">
                  <c:v>476.76325861126293</c:v>
                </c:pt>
                <c:pt idx="72">
                  <c:v>467.75956284153006</c:v>
                </c:pt>
                <c:pt idx="73">
                  <c:v>459.93589743589729</c:v>
                </c:pt>
                <c:pt idx="74">
                  <c:v>434.62717058222665</c:v>
                </c:pt>
                <c:pt idx="75">
                  <c:v>430.78460769615202</c:v>
                </c:pt>
                <c:pt idx="76">
                  <c:v>432.29689067201605</c:v>
                </c:pt>
                <c:pt idx="77">
                  <c:v>419.76516634050864</c:v>
                </c:pt>
                <c:pt idx="78">
                  <c:v>392.18523878437043</c:v>
                </c:pt>
                <c:pt idx="79">
                  <c:v>371.4146815751094</c:v>
                </c:pt>
                <c:pt idx="80">
                  <c:v>364.55929856945113</c:v>
                </c:pt>
                <c:pt idx="81">
                  <c:v>390.75818752803929</c:v>
                </c:pt>
                <c:pt idx="82">
                  <c:v>381.82612494539063</c:v>
                </c:pt>
                <c:pt idx="83">
                  <c:v>389.1267123287671</c:v>
                </c:pt>
                <c:pt idx="84">
                  <c:v>408.07740849810693</c:v>
                </c:pt>
                <c:pt idx="85">
                  <c:v>413.17861583091587</c:v>
                </c:pt>
                <c:pt idx="86">
                  <c:v>400.56818181818164</c:v>
                </c:pt>
                <c:pt idx="87">
                  <c:v>388.68976503385153</c:v>
                </c:pt>
                <c:pt idx="88">
                  <c:v>394.07288746495823</c:v>
                </c:pt>
                <c:pt idx="89">
                  <c:v>377.35849056603774</c:v>
                </c:pt>
                <c:pt idx="90">
                  <c:v>394.4596176355833</c:v>
                </c:pt>
                <c:pt idx="91">
                  <c:v>411.19691119691134</c:v>
                </c:pt>
                <c:pt idx="92">
                  <c:v>438.43283582089549</c:v>
                </c:pt>
                <c:pt idx="93">
                  <c:v>452.75446917183541</c:v>
                </c:pt>
                <c:pt idx="94">
                  <c:v>442.82670454545428</c:v>
                </c:pt>
                <c:pt idx="95">
                  <c:v>438.18245861218725</c:v>
                </c:pt>
                <c:pt idx="96">
                  <c:v>450.68445068445106</c:v>
                </c:pt>
                <c:pt idx="97">
                  <c:v>490.69607167470718</c:v>
                </c:pt>
                <c:pt idx="98">
                  <c:v>495.9044368600683</c:v>
                </c:pt>
                <c:pt idx="99">
                  <c:v>502.67447713557158</c:v>
                </c:pt>
                <c:pt idx="100">
                  <c:v>516.28649206796263</c:v>
                </c:pt>
                <c:pt idx="101">
                  <c:v>490.14325032330845</c:v>
                </c:pt>
                <c:pt idx="102">
                  <c:v>457.56637799510418</c:v>
                </c:pt>
                <c:pt idx="103">
                  <c:v>478.93909301555766</c:v>
                </c:pt>
                <c:pt idx="104">
                  <c:v>493.23871930806604</c:v>
                </c:pt>
                <c:pt idx="105">
                  <c:v>487.25759958071268</c:v>
                </c:pt>
                <c:pt idx="106">
                  <c:v>485.33564369143915</c:v>
                </c:pt>
                <c:pt idx="107">
                  <c:v>479.47091639128695</c:v>
                </c:pt>
                <c:pt idx="108">
                  <c:v>466.84606144533439</c:v>
                </c:pt>
                <c:pt idx="109">
                  <c:v>473.19618785595549</c:v>
                </c:pt>
                <c:pt idx="110">
                  <c:v>430.38302407959384</c:v>
                </c:pt>
                <c:pt idx="111">
                  <c:v>470.43010752688139</c:v>
                </c:pt>
                <c:pt idx="112">
                  <c:v>484.08769267711989</c:v>
                </c:pt>
                <c:pt idx="113">
                  <c:v>460.99808809132043</c:v>
                </c:pt>
              </c:numCache>
            </c:numRef>
          </c:val>
          <c:smooth val="0"/>
        </c:ser>
        <c:ser>
          <c:idx val="1"/>
          <c:order val="1"/>
          <c:tx>
            <c:strRef>
              <c:f>'Final real price'!$P$5</c:f>
              <c:strCache>
                <c:ptCount val="1"/>
                <c:pt idx="0">
                  <c:v>Wheat</c:v>
                </c:pt>
              </c:strCache>
            </c:strRef>
          </c:tx>
          <c:marker>
            <c:symbol val="star"/>
            <c:size val="4"/>
          </c:marker>
          <c:trendline>
            <c:spPr>
              <a:ln w="12700">
                <a:solidFill>
                  <a:sysClr val="windowText" lastClr="000000"/>
                </a:solidFill>
                <a:prstDash val="sysDot"/>
                <a:tailEnd type="arrow"/>
              </a:ln>
            </c:spPr>
            <c:trendlineType val="linear"/>
            <c:dispRSqr val="0"/>
            <c:dispEq val="0"/>
          </c:trendline>
          <c:cat>
            <c:numRef>
              <c:f>'Final real price'!$N$30:$N$143</c:f>
              <c:numCache>
                <c:formatCode>mmm\-yy</c:formatCode>
                <c:ptCount val="114"/>
                <c:pt idx="0">
                  <c:v>38169</c:v>
                </c:pt>
                <c:pt idx="1">
                  <c:v>38200</c:v>
                </c:pt>
                <c:pt idx="2">
                  <c:v>38231</c:v>
                </c:pt>
                <c:pt idx="3">
                  <c:v>38261</c:v>
                </c:pt>
                <c:pt idx="4">
                  <c:v>38292</c:v>
                </c:pt>
                <c:pt idx="5">
                  <c:v>38322</c:v>
                </c:pt>
                <c:pt idx="6">
                  <c:v>38353</c:v>
                </c:pt>
                <c:pt idx="7">
                  <c:v>38384</c:v>
                </c:pt>
                <c:pt idx="8">
                  <c:v>38412</c:v>
                </c:pt>
                <c:pt idx="9">
                  <c:v>38443</c:v>
                </c:pt>
                <c:pt idx="10">
                  <c:v>38473</c:v>
                </c:pt>
                <c:pt idx="11">
                  <c:v>38504</c:v>
                </c:pt>
                <c:pt idx="12">
                  <c:v>38534</c:v>
                </c:pt>
                <c:pt idx="13">
                  <c:v>38565</c:v>
                </c:pt>
                <c:pt idx="14">
                  <c:v>38596</c:v>
                </c:pt>
                <c:pt idx="15">
                  <c:v>38626</c:v>
                </c:pt>
                <c:pt idx="16">
                  <c:v>38657</c:v>
                </c:pt>
                <c:pt idx="17">
                  <c:v>38687</c:v>
                </c:pt>
                <c:pt idx="18">
                  <c:v>38718</c:v>
                </c:pt>
                <c:pt idx="19">
                  <c:v>38749</c:v>
                </c:pt>
                <c:pt idx="20">
                  <c:v>38777</c:v>
                </c:pt>
                <c:pt idx="21">
                  <c:v>38808</c:v>
                </c:pt>
                <c:pt idx="22">
                  <c:v>38838</c:v>
                </c:pt>
                <c:pt idx="23">
                  <c:v>38869</c:v>
                </c:pt>
                <c:pt idx="24">
                  <c:v>38899</c:v>
                </c:pt>
                <c:pt idx="25">
                  <c:v>38930</c:v>
                </c:pt>
                <c:pt idx="26">
                  <c:v>38961</c:v>
                </c:pt>
                <c:pt idx="27">
                  <c:v>38991</c:v>
                </c:pt>
                <c:pt idx="28">
                  <c:v>39022</c:v>
                </c:pt>
                <c:pt idx="29">
                  <c:v>39052</c:v>
                </c:pt>
                <c:pt idx="30">
                  <c:v>39083</c:v>
                </c:pt>
                <c:pt idx="31">
                  <c:v>39114</c:v>
                </c:pt>
                <c:pt idx="32">
                  <c:v>39142</c:v>
                </c:pt>
                <c:pt idx="33">
                  <c:v>39173</c:v>
                </c:pt>
                <c:pt idx="34">
                  <c:v>39203</c:v>
                </c:pt>
                <c:pt idx="35">
                  <c:v>39234</c:v>
                </c:pt>
                <c:pt idx="36">
                  <c:v>39264</c:v>
                </c:pt>
                <c:pt idx="37">
                  <c:v>39295</c:v>
                </c:pt>
                <c:pt idx="38">
                  <c:v>39326</c:v>
                </c:pt>
                <c:pt idx="39">
                  <c:v>39356</c:v>
                </c:pt>
                <c:pt idx="40">
                  <c:v>39387</c:v>
                </c:pt>
                <c:pt idx="41">
                  <c:v>39417</c:v>
                </c:pt>
                <c:pt idx="42">
                  <c:v>39448</c:v>
                </c:pt>
                <c:pt idx="43">
                  <c:v>39479</c:v>
                </c:pt>
                <c:pt idx="44">
                  <c:v>39508</c:v>
                </c:pt>
                <c:pt idx="45">
                  <c:v>39539</c:v>
                </c:pt>
                <c:pt idx="46">
                  <c:v>39569</c:v>
                </c:pt>
                <c:pt idx="47">
                  <c:v>39600</c:v>
                </c:pt>
                <c:pt idx="48">
                  <c:v>39630</c:v>
                </c:pt>
                <c:pt idx="49">
                  <c:v>39661</c:v>
                </c:pt>
                <c:pt idx="50">
                  <c:v>39692</c:v>
                </c:pt>
                <c:pt idx="51">
                  <c:v>39722</c:v>
                </c:pt>
                <c:pt idx="52">
                  <c:v>39753</c:v>
                </c:pt>
                <c:pt idx="53">
                  <c:v>39783</c:v>
                </c:pt>
                <c:pt idx="54">
                  <c:v>39814</c:v>
                </c:pt>
                <c:pt idx="55">
                  <c:v>39845</c:v>
                </c:pt>
                <c:pt idx="56">
                  <c:v>39873</c:v>
                </c:pt>
                <c:pt idx="57">
                  <c:v>39904</c:v>
                </c:pt>
                <c:pt idx="58">
                  <c:v>39934</c:v>
                </c:pt>
                <c:pt idx="59">
                  <c:v>39965</c:v>
                </c:pt>
                <c:pt idx="60">
                  <c:v>39995</c:v>
                </c:pt>
                <c:pt idx="61">
                  <c:v>40026</c:v>
                </c:pt>
                <c:pt idx="62">
                  <c:v>40057</c:v>
                </c:pt>
                <c:pt idx="63">
                  <c:v>40087</c:v>
                </c:pt>
                <c:pt idx="64">
                  <c:v>40118</c:v>
                </c:pt>
                <c:pt idx="65">
                  <c:v>40148</c:v>
                </c:pt>
                <c:pt idx="66">
                  <c:v>40179</c:v>
                </c:pt>
                <c:pt idx="67">
                  <c:v>40210</c:v>
                </c:pt>
                <c:pt idx="68">
                  <c:v>40238</c:v>
                </c:pt>
                <c:pt idx="69">
                  <c:v>40269</c:v>
                </c:pt>
                <c:pt idx="70">
                  <c:v>40299</c:v>
                </c:pt>
                <c:pt idx="71">
                  <c:v>40330</c:v>
                </c:pt>
                <c:pt idx="72">
                  <c:v>40360</c:v>
                </c:pt>
                <c:pt idx="73">
                  <c:v>40391</c:v>
                </c:pt>
                <c:pt idx="74">
                  <c:v>40422</c:v>
                </c:pt>
                <c:pt idx="75">
                  <c:v>40452</c:v>
                </c:pt>
                <c:pt idx="76">
                  <c:v>40483</c:v>
                </c:pt>
                <c:pt idx="77">
                  <c:v>40513</c:v>
                </c:pt>
                <c:pt idx="78">
                  <c:v>40544</c:v>
                </c:pt>
                <c:pt idx="79">
                  <c:v>40575</c:v>
                </c:pt>
                <c:pt idx="80">
                  <c:v>40603</c:v>
                </c:pt>
                <c:pt idx="81">
                  <c:v>40634</c:v>
                </c:pt>
                <c:pt idx="82">
                  <c:v>40664</c:v>
                </c:pt>
                <c:pt idx="83">
                  <c:v>40695</c:v>
                </c:pt>
                <c:pt idx="84">
                  <c:v>40725</c:v>
                </c:pt>
                <c:pt idx="85">
                  <c:v>40756</c:v>
                </c:pt>
                <c:pt idx="86">
                  <c:v>40787</c:v>
                </c:pt>
                <c:pt idx="87">
                  <c:v>40817</c:v>
                </c:pt>
                <c:pt idx="88">
                  <c:v>40848</c:v>
                </c:pt>
                <c:pt idx="89">
                  <c:v>40878</c:v>
                </c:pt>
                <c:pt idx="90">
                  <c:v>40909</c:v>
                </c:pt>
                <c:pt idx="91">
                  <c:v>40940</c:v>
                </c:pt>
                <c:pt idx="92">
                  <c:v>40969</c:v>
                </c:pt>
                <c:pt idx="93">
                  <c:v>41000</c:v>
                </c:pt>
                <c:pt idx="94">
                  <c:v>41030</c:v>
                </c:pt>
                <c:pt idx="95">
                  <c:v>41061</c:v>
                </c:pt>
                <c:pt idx="96">
                  <c:v>41091</c:v>
                </c:pt>
                <c:pt idx="97">
                  <c:v>41122</c:v>
                </c:pt>
                <c:pt idx="98">
                  <c:v>41153</c:v>
                </c:pt>
                <c:pt idx="99">
                  <c:v>41183</c:v>
                </c:pt>
                <c:pt idx="100">
                  <c:v>41214</c:v>
                </c:pt>
                <c:pt idx="101">
                  <c:v>41244</c:v>
                </c:pt>
                <c:pt idx="102">
                  <c:v>41275</c:v>
                </c:pt>
                <c:pt idx="103">
                  <c:v>41306</c:v>
                </c:pt>
                <c:pt idx="104">
                  <c:v>41334</c:v>
                </c:pt>
                <c:pt idx="105">
                  <c:v>41365</c:v>
                </c:pt>
                <c:pt idx="106">
                  <c:v>41395</c:v>
                </c:pt>
                <c:pt idx="107">
                  <c:v>41426</c:v>
                </c:pt>
                <c:pt idx="108">
                  <c:v>41456</c:v>
                </c:pt>
                <c:pt idx="109">
                  <c:v>41487</c:v>
                </c:pt>
                <c:pt idx="110">
                  <c:v>41518</c:v>
                </c:pt>
                <c:pt idx="111">
                  <c:v>41548</c:v>
                </c:pt>
                <c:pt idx="112">
                  <c:v>41579</c:v>
                </c:pt>
                <c:pt idx="113">
                  <c:v>41609</c:v>
                </c:pt>
              </c:numCache>
            </c:numRef>
          </c:cat>
          <c:val>
            <c:numRef>
              <c:f>'Final real price'!$P$30:$P$143</c:f>
              <c:numCache>
                <c:formatCode>0</c:formatCode>
                <c:ptCount val="114"/>
                <c:pt idx="0">
                  <c:v>224.60162601626021</c:v>
                </c:pt>
                <c:pt idx="1">
                  <c:v>240.35240690281591</c:v>
                </c:pt>
                <c:pt idx="2">
                  <c:v>230.99735216240074</c:v>
                </c:pt>
                <c:pt idx="3">
                  <c:v>225.86407766990283</c:v>
                </c:pt>
                <c:pt idx="4">
                  <c:v>210.65017667844521</c:v>
                </c:pt>
                <c:pt idx="5">
                  <c:v>219.13120567375876</c:v>
                </c:pt>
                <c:pt idx="6">
                  <c:v>207.71428571428552</c:v>
                </c:pt>
                <c:pt idx="7">
                  <c:v>221.20462633451959</c:v>
                </c:pt>
                <c:pt idx="8">
                  <c:v>219.95426561125763</c:v>
                </c:pt>
                <c:pt idx="9">
                  <c:v>241.49043478260882</c:v>
                </c:pt>
                <c:pt idx="10">
                  <c:v>249.47313691507804</c:v>
                </c:pt>
                <c:pt idx="11">
                  <c:v>241.09693877551024</c:v>
                </c:pt>
                <c:pt idx="12">
                  <c:v>248.87183811129864</c:v>
                </c:pt>
                <c:pt idx="13">
                  <c:v>253.66110183639404</c:v>
                </c:pt>
                <c:pt idx="14">
                  <c:v>253.18407960199011</c:v>
                </c:pt>
                <c:pt idx="15">
                  <c:v>265.0207125103563</c:v>
                </c:pt>
                <c:pt idx="16">
                  <c:v>265.35500000000002</c:v>
                </c:pt>
                <c:pt idx="17">
                  <c:v>265.46058091286307</c:v>
                </c:pt>
                <c:pt idx="18">
                  <c:v>273.22682119205297</c:v>
                </c:pt>
                <c:pt idx="19">
                  <c:v>264.47049312853676</c:v>
                </c:pt>
                <c:pt idx="20">
                  <c:v>261.81350482315133</c:v>
                </c:pt>
                <c:pt idx="21">
                  <c:v>282.88390712570072</c:v>
                </c:pt>
                <c:pt idx="22">
                  <c:v>288.07800312012466</c:v>
                </c:pt>
                <c:pt idx="23">
                  <c:v>273.30827067669173</c:v>
                </c:pt>
                <c:pt idx="24">
                  <c:v>277.87555555555559</c:v>
                </c:pt>
                <c:pt idx="25">
                  <c:v>298.63656227239619</c:v>
                </c:pt>
                <c:pt idx="26">
                  <c:v>281.41935483870969</c:v>
                </c:pt>
                <c:pt idx="27">
                  <c:v>269.66920415224916</c:v>
                </c:pt>
                <c:pt idx="28">
                  <c:v>276.33033863165173</c:v>
                </c:pt>
                <c:pt idx="29">
                  <c:v>280</c:v>
                </c:pt>
                <c:pt idx="30">
                  <c:v>277.61194029850725</c:v>
                </c:pt>
                <c:pt idx="31">
                  <c:v>277.99607072691526</c:v>
                </c:pt>
                <c:pt idx="32">
                  <c:v>277.99607072691526</c:v>
                </c:pt>
                <c:pt idx="33">
                  <c:v>264.47876447876428</c:v>
                </c:pt>
                <c:pt idx="34">
                  <c:v>257.84966698382539</c:v>
                </c:pt>
                <c:pt idx="35">
                  <c:v>259.5704948646125</c:v>
                </c:pt>
                <c:pt idx="36">
                  <c:v>262.58005489478501</c:v>
                </c:pt>
                <c:pt idx="37">
                  <c:v>276.97841726618657</c:v>
                </c:pt>
                <c:pt idx="38">
                  <c:v>280.03533568904595</c:v>
                </c:pt>
                <c:pt idx="39">
                  <c:v>283.1858407079647</c:v>
                </c:pt>
                <c:pt idx="40">
                  <c:v>290.69767441860444</c:v>
                </c:pt>
                <c:pt idx="41">
                  <c:v>280.13876843018193</c:v>
                </c:pt>
                <c:pt idx="42">
                  <c:v>286.63793103448273</c:v>
                </c:pt>
                <c:pt idx="43">
                  <c:v>300.73649754500798</c:v>
                </c:pt>
                <c:pt idx="44">
                  <c:v>300.69390902081727</c:v>
                </c:pt>
                <c:pt idx="45">
                  <c:v>353.41519570222516</c:v>
                </c:pt>
                <c:pt idx="46">
                  <c:v>400.32467532467535</c:v>
                </c:pt>
                <c:pt idx="47">
                  <c:v>488.98531375166846</c:v>
                </c:pt>
                <c:pt idx="48">
                  <c:v>392.53539253539253</c:v>
                </c:pt>
                <c:pt idx="49">
                  <c:v>401.02171136653874</c:v>
                </c:pt>
                <c:pt idx="50">
                  <c:v>392.9024081115337</c:v>
                </c:pt>
                <c:pt idx="51">
                  <c:v>365.04975124378126</c:v>
                </c:pt>
                <c:pt idx="52">
                  <c:v>342.51721978710054</c:v>
                </c:pt>
                <c:pt idx="53">
                  <c:v>322.58064516129025</c:v>
                </c:pt>
                <c:pt idx="54">
                  <c:v>312.01044386422979</c:v>
                </c:pt>
                <c:pt idx="55">
                  <c:v>338.70967741935488</c:v>
                </c:pt>
                <c:pt idx="56">
                  <c:v>344.82758620689657</c:v>
                </c:pt>
                <c:pt idx="57">
                  <c:v>291.19496855345932</c:v>
                </c:pt>
                <c:pt idx="58">
                  <c:v>277.08592777085926</c:v>
                </c:pt>
                <c:pt idx="59">
                  <c:v>291.04477611940325</c:v>
                </c:pt>
                <c:pt idx="60">
                  <c:v>280.48780487804879</c:v>
                </c:pt>
                <c:pt idx="61">
                  <c:v>293.79891631547224</c:v>
                </c:pt>
                <c:pt idx="62">
                  <c:v>325.20325203252025</c:v>
                </c:pt>
                <c:pt idx="63">
                  <c:v>329.67032967032975</c:v>
                </c:pt>
                <c:pt idx="64">
                  <c:v>324.07407407407396</c:v>
                </c:pt>
                <c:pt idx="65">
                  <c:v>317.04479348458403</c:v>
                </c:pt>
                <c:pt idx="66">
                  <c:v>312.24370240187443</c:v>
                </c:pt>
                <c:pt idx="67">
                  <c:v>283.4782608695653</c:v>
                </c:pt>
                <c:pt idx="68">
                  <c:v>280.32036613272334</c:v>
                </c:pt>
                <c:pt idx="69">
                  <c:v>252.80269058295974</c:v>
                </c:pt>
                <c:pt idx="70">
                  <c:v>257.04809286898825</c:v>
                </c:pt>
                <c:pt idx="71">
                  <c:v>249.86331328594858</c:v>
                </c:pt>
                <c:pt idx="72">
                  <c:v>249.72677595628414</c:v>
                </c:pt>
                <c:pt idx="73">
                  <c:v>248.39743589743614</c:v>
                </c:pt>
                <c:pt idx="74">
                  <c:v>238.50868232890699</c:v>
                </c:pt>
                <c:pt idx="75">
                  <c:v>235.38230884557746</c:v>
                </c:pt>
                <c:pt idx="76">
                  <c:v>239.71915747241718</c:v>
                </c:pt>
                <c:pt idx="77">
                  <c:v>258.3170254403131</c:v>
                </c:pt>
                <c:pt idx="78">
                  <c:v>263.86878919440431</c:v>
                </c:pt>
                <c:pt idx="79">
                  <c:v>280.99173553718953</c:v>
                </c:pt>
                <c:pt idx="80">
                  <c:v>300.87678818643286</c:v>
                </c:pt>
                <c:pt idx="81">
                  <c:v>316.73396141767563</c:v>
                </c:pt>
                <c:pt idx="82">
                  <c:v>348.62385321100919</c:v>
                </c:pt>
                <c:pt idx="83">
                  <c:v>369.00684931506873</c:v>
                </c:pt>
                <c:pt idx="84">
                  <c:v>349.1796381994115</c:v>
                </c:pt>
                <c:pt idx="85">
                  <c:v>305.42892664732693</c:v>
                </c:pt>
                <c:pt idx="86">
                  <c:v>315.74675324675326</c:v>
                </c:pt>
                <c:pt idx="87">
                  <c:v>317.4034249303067</c:v>
                </c:pt>
                <c:pt idx="88">
                  <c:v>303.56427713255908</c:v>
                </c:pt>
                <c:pt idx="89">
                  <c:v>251.96540880503161</c:v>
                </c:pt>
                <c:pt idx="90">
                  <c:v>234.49083105735477</c:v>
                </c:pt>
                <c:pt idx="91">
                  <c:v>264.47876447876422</c:v>
                </c:pt>
                <c:pt idx="92">
                  <c:v>251.11940298507466</c:v>
                </c:pt>
                <c:pt idx="93">
                  <c:v>267.78547975191503</c:v>
                </c:pt>
                <c:pt idx="94">
                  <c:v>253.90625</c:v>
                </c:pt>
                <c:pt idx="95">
                  <c:v>252.5537160972174</c:v>
                </c:pt>
                <c:pt idx="96">
                  <c:v>262.89926289926314</c:v>
                </c:pt>
                <c:pt idx="97">
                  <c:v>261.1991729841489</c:v>
                </c:pt>
                <c:pt idx="98">
                  <c:v>257.3378839590444</c:v>
                </c:pt>
                <c:pt idx="99">
                  <c:v>254.10298534707366</c:v>
                </c:pt>
                <c:pt idx="100">
                  <c:v>229.84412013185997</c:v>
                </c:pt>
                <c:pt idx="101">
                  <c:v>230.39150667064584</c:v>
                </c:pt>
                <c:pt idx="102">
                  <c:v>227.75417915198611</c:v>
                </c:pt>
                <c:pt idx="103">
                  <c:v>241.36599360035308</c:v>
                </c:pt>
                <c:pt idx="104">
                  <c:v>237.01526776208192</c:v>
                </c:pt>
                <c:pt idx="105">
                  <c:v>235.0983796296297</c:v>
                </c:pt>
                <c:pt idx="106">
                  <c:v>241.66506225131553</c:v>
                </c:pt>
                <c:pt idx="107">
                  <c:v>245.50954056070771</c:v>
                </c:pt>
                <c:pt idx="108">
                  <c:v>230.85494026293762</c:v>
                </c:pt>
                <c:pt idx="109">
                  <c:v>223.76133108926101</c:v>
                </c:pt>
                <c:pt idx="110">
                  <c:v>194.78089132996755</c:v>
                </c:pt>
                <c:pt idx="111">
                  <c:v>242.50608642726721</c:v>
                </c:pt>
                <c:pt idx="112">
                  <c:v>222.246064711923</c:v>
                </c:pt>
                <c:pt idx="113">
                  <c:v>221.04842305977144</c:v>
                </c:pt>
              </c:numCache>
            </c:numRef>
          </c:val>
          <c:smooth val="0"/>
        </c:ser>
        <c:ser>
          <c:idx val="2"/>
          <c:order val="2"/>
          <c:tx>
            <c:strRef>
              <c:f>'Final real price'!$Q$5</c:f>
              <c:strCache>
                <c:ptCount val="1"/>
                <c:pt idx="0">
                  <c:v>Maize</c:v>
                </c:pt>
              </c:strCache>
            </c:strRef>
          </c:tx>
          <c:marker>
            <c:symbol val="x"/>
            <c:size val="4"/>
            <c:spPr>
              <a:ln w="12700"/>
            </c:spPr>
          </c:marker>
          <c:trendline>
            <c:spPr>
              <a:ln w="12700" cmpd="dbl">
                <a:prstDash val="dash"/>
                <a:tailEnd type="arrow"/>
              </a:ln>
            </c:spPr>
            <c:trendlineType val="linear"/>
            <c:dispRSqr val="0"/>
            <c:dispEq val="0"/>
          </c:trendline>
          <c:cat>
            <c:numRef>
              <c:f>'Final real price'!$N$30:$N$143</c:f>
              <c:numCache>
                <c:formatCode>mmm\-yy</c:formatCode>
                <c:ptCount val="114"/>
                <c:pt idx="0">
                  <c:v>38169</c:v>
                </c:pt>
                <c:pt idx="1">
                  <c:v>38200</c:v>
                </c:pt>
                <c:pt idx="2">
                  <c:v>38231</c:v>
                </c:pt>
                <c:pt idx="3">
                  <c:v>38261</c:v>
                </c:pt>
                <c:pt idx="4">
                  <c:v>38292</c:v>
                </c:pt>
                <c:pt idx="5">
                  <c:v>38322</c:v>
                </c:pt>
                <c:pt idx="6">
                  <c:v>38353</c:v>
                </c:pt>
                <c:pt idx="7">
                  <c:v>38384</c:v>
                </c:pt>
                <c:pt idx="8">
                  <c:v>38412</c:v>
                </c:pt>
                <c:pt idx="9">
                  <c:v>38443</c:v>
                </c:pt>
                <c:pt idx="10">
                  <c:v>38473</c:v>
                </c:pt>
                <c:pt idx="11">
                  <c:v>38504</c:v>
                </c:pt>
                <c:pt idx="12">
                  <c:v>38534</c:v>
                </c:pt>
                <c:pt idx="13">
                  <c:v>38565</c:v>
                </c:pt>
                <c:pt idx="14">
                  <c:v>38596</c:v>
                </c:pt>
                <c:pt idx="15">
                  <c:v>38626</c:v>
                </c:pt>
                <c:pt idx="16">
                  <c:v>38657</c:v>
                </c:pt>
                <c:pt idx="17">
                  <c:v>38687</c:v>
                </c:pt>
                <c:pt idx="18">
                  <c:v>38718</c:v>
                </c:pt>
                <c:pt idx="19">
                  <c:v>38749</c:v>
                </c:pt>
                <c:pt idx="20">
                  <c:v>38777</c:v>
                </c:pt>
                <c:pt idx="21">
                  <c:v>38808</c:v>
                </c:pt>
                <c:pt idx="22">
                  <c:v>38838</c:v>
                </c:pt>
                <c:pt idx="23">
                  <c:v>38869</c:v>
                </c:pt>
                <c:pt idx="24">
                  <c:v>38899</c:v>
                </c:pt>
                <c:pt idx="25">
                  <c:v>38930</c:v>
                </c:pt>
                <c:pt idx="26">
                  <c:v>38961</c:v>
                </c:pt>
                <c:pt idx="27">
                  <c:v>38991</c:v>
                </c:pt>
                <c:pt idx="28">
                  <c:v>39022</c:v>
                </c:pt>
                <c:pt idx="29">
                  <c:v>39052</c:v>
                </c:pt>
                <c:pt idx="30">
                  <c:v>39083</c:v>
                </c:pt>
                <c:pt idx="31">
                  <c:v>39114</c:v>
                </c:pt>
                <c:pt idx="32">
                  <c:v>39142</c:v>
                </c:pt>
                <c:pt idx="33">
                  <c:v>39173</c:v>
                </c:pt>
                <c:pt idx="34">
                  <c:v>39203</c:v>
                </c:pt>
                <c:pt idx="35">
                  <c:v>39234</c:v>
                </c:pt>
                <c:pt idx="36">
                  <c:v>39264</c:v>
                </c:pt>
                <c:pt idx="37">
                  <c:v>39295</c:v>
                </c:pt>
                <c:pt idx="38">
                  <c:v>39326</c:v>
                </c:pt>
                <c:pt idx="39">
                  <c:v>39356</c:v>
                </c:pt>
                <c:pt idx="40">
                  <c:v>39387</c:v>
                </c:pt>
                <c:pt idx="41">
                  <c:v>39417</c:v>
                </c:pt>
                <c:pt idx="42">
                  <c:v>39448</c:v>
                </c:pt>
                <c:pt idx="43">
                  <c:v>39479</c:v>
                </c:pt>
                <c:pt idx="44">
                  <c:v>39508</c:v>
                </c:pt>
                <c:pt idx="45">
                  <c:v>39539</c:v>
                </c:pt>
                <c:pt idx="46">
                  <c:v>39569</c:v>
                </c:pt>
                <c:pt idx="47">
                  <c:v>39600</c:v>
                </c:pt>
                <c:pt idx="48">
                  <c:v>39630</c:v>
                </c:pt>
                <c:pt idx="49">
                  <c:v>39661</c:v>
                </c:pt>
                <c:pt idx="50">
                  <c:v>39692</c:v>
                </c:pt>
                <c:pt idx="51">
                  <c:v>39722</c:v>
                </c:pt>
                <c:pt idx="52">
                  <c:v>39753</c:v>
                </c:pt>
                <c:pt idx="53">
                  <c:v>39783</c:v>
                </c:pt>
                <c:pt idx="54">
                  <c:v>39814</c:v>
                </c:pt>
                <c:pt idx="55">
                  <c:v>39845</c:v>
                </c:pt>
                <c:pt idx="56">
                  <c:v>39873</c:v>
                </c:pt>
                <c:pt idx="57">
                  <c:v>39904</c:v>
                </c:pt>
                <c:pt idx="58">
                  <c:v>39934</c:v>
                </c:pt>
                <c:pt idx="59">
                  <c:v>39965</c:v>
                </c:pt>
                <c:pt idx="60">
                  <c:v>39995</c:v>
                </c:pt>
                <c:pt idx="61">
                  <c:v>40026</c:v>
                </c:pt>
                <c:pt idx="62">
                  <c:v>40057</c:v>
                </c:pt>
                <c:pt idx="63">
                  <c:v>40087</c:v>
                </c:pt>
                <c:pt idx="64">
                  <c:v>40118</c:v>
                </c:pt>
                <c:pt idx="65">
                  <c:v>40148</c:v>
                </c:pt>
                <c:pt idx="66">
                  <c:v>40179</c:v>
                </c:pt>
                <c:pt idx="67">
                  <c:v>40210</c:v>
                </c:pt>
                <c:pt idx="68">
                  <c:v>40238</c:v>
                </c:pt>
                <c:pt idx="69">
                  <c:v>40269</c:v>
                </c:pt>
                <c:pt idx="70">
                  <c:v>40299</c:v>
                </c:pt>
                <c:pt idx="71">
                  <c:v>40330</c:v>
                </c:pt>
                <c:pt idx="72">
                  <c:v>40360</c:v>
                </c:pt>
                <c:pt idx="73">
                  <c:v>40391</c:v>
                </c:pt>
                <c:pt idx="74">
                  <c:v>40422</c:v>
                </c:pt>
                <c:pt idx="75">
                  <c:v>40452</c:v>
                </c:pt>
                <c:pt idx="76">
                  <c:v>40483</c:v>
                </c:pt>
                <c:pt idx="77">
                  <c:v>40513</c:v>
                </c:pt>
                <c:pt idx="78">
                  <c:v>40544</c:v>
                </c:pt>
                <c:pt idx="79">
                  <c:v>40575</c:v>
                </c:pt>
                <c:pt idx="80">
                  <c:v>40603</c:v>
                </c:pt>
                <c:pt idx="81">
                  <c:v>40634</c:v>
                </c:pt>
                <c:pt idx="82">
                  <c:v>40664</c:v>
                </c:pt>
                <c:pt idx="83">
                  <c:v>40695</c:v>
                </c:pt>
                <c:pt idx="84">
                  <c:v>40725</c:v>
                </c:pt>
                <c:pt idx="85">
                  <c:v>40756</c:v>
                </c:pt>
                <c:pt idx="86">
                  <c:v>40787</c:v>
                </c:pt>
                <c:pt idx="87">
                  <c:v>40817</c:v>
                </c:pt>
                <c:pt idx="88">
                  <c:v>40848</c:v>
                </c:pt>
                <c:pt idx="89">
                  <c:v>40878</c:v>
                </c:pt>
                <c:pt idx="90">
                  <c:v>40909</c:v>
                </c:pt>
                <c:pt idx="91">
                  <c:v>40940</c:v>
                </c:pt>
                <c:pt idx="92">
                  <c:v>40969</c:v>
                </c:pt>
                <c:pt idx="93">
                  <c:v>41000</c:v>
                </c:pt>
                <c:pt idx="94">
                  <c:v>41030</c:v>
                </c:pt>
                <c:pt idx="95">
                  <c:v>41061</c:v>
                </c:pt>
                <c:pt idx="96">
                  <c:v>41091</c:v>
                </c:pt>
                <c:pt idx="97">
                  <c:v>41122</c:v>
                </c:pt>
                <c:pt idx="98">
                  <c:v>41153</c:v>
                </c:pt>
                <c:pt idx="99">
                  <c:v>41183</c:v>
                </c:pt>
                <c:pt idx="100">
                  <c:v>41214</c:v>
                </c:pt>
                <c:pt idx="101">
                  <c:v>41244</c:v>
                </c:pt>
                <c:pt idx="102">
                  <c:v>41275</c:v>
                </c:pt>
                <c:pt idx="103">
                  <c:v>41306</c:v>
                </c:pt>
                <c:pt idx="104">
                  <c:v>41334</c:v>
                </c:pt>
                <c:pt idx="105">
                  <c:v>41365</c:v>
                </c:pt>
                <c:pt idx="106">
                  <c:v>41395</c:v>
                </c:pt>
                <c:pt idx="107">
                  <c:v>41426</c:v>
                </c:pt>
                <c:pt idx="108">
                  <c:v>41456</c:v>
                </c:pt>
                <c:pt idx="109">
                  <c:v>41487</c:v>
                </c:pt>
                <c:pt idx="110">
                  <c:v>41518</c:v>
                </c:pt>
                <c:pt idx="111">
                  <c:v>41548</c:v>
                </c:pt>
                <c:pt idx="112">
                  <c:v>41579</c:v>
                </c:pt>
                <c:pt idx="113">
                  <c:v>41609</c:v>
                </c:pt>
              </c:numCache>
            </c:numRef>
          </c:cat>
          <c:val>
            <c:numRef>
              <c:f>'Final real price'!$Q$30:$Q$143</c:f>
              <c:numCache>
                <c:formatCode>0</c:formatCode>
                <c:ptCount val="114"/>
                <c:pt idx="0">
                  <c:v>169.43631436314362</c:v>
                </c:pt>
                <c:pt idx="1">
                  <c:v>176.96276112624872</c:v>
                </c:pt>
                <c:pt idx="2">
                  <c:v>171.96469549867598</c:v>
                </c:pt>
                <c:pt idx="3">
                  <c:v>166.83142100617829</c:v>
                </c:pt>
                <c:pt idx="4">
                  <c:v>161.84098939929339</c:v>
                </c:pt>
                <c:pt idx="5">
                  <c:v>164.99290780141857</c:v>
                </c:pt>
                <c:pt idx="6">
                  <c:v>157.70899470899468</c:v>
                </c:pt>
                <c:pt idx="7">
                  <c:v>174.63523131672611</c:v>
                </c:pt>
                <c:pt idx="8">
                  <c:v>172.63852242744065</c:v>
                </c:pt>
                <c:pt idx="9">
                  <c:v>187.12347826086958</c:v>
                </c:pt>
                <c:pt idx="10">
                  <c:v>202.85441941074538</c:v>
                </c:pt>
                <c:pt idx="11">
                  <c:v>210.18707482993202</c:v>
                </c:pt>
                <c:pt idx="12">
                  <c:v>204.73693086003385</c:v>
                </c:pt>
                <c:pt idx="13">
                  <c:v>203.89983305509196</c:v>
                </c:pt>
                <c:pt idx="14">
                  <c:v>194.10779436152575</c:v>
                </c:pt>
                <c:pt idx="15">
                  <c:v>167.44490472245224</c:v>
                </c:pt>
                <c:pt idx="16">
                  <c:v>153.88166666666666</c:v>
                </c:pt>
                <c:pt idx="17">
                  <c:v>155.65643153526989</c:v>
                </c:pt>
                <c:pt idx="18">
                  <c:v>162.49172185430464</c:v>
                </c:pt>
                <c:pt idx="19">
                  <c:v>165.73484236054972</c:v>
                </c:pt>
                <c:pt idx="20">
                  <c:v>157.78938906752421</c:v>
                </c:pt>
                <c:pt idx="21">
                  <c:v>165.30664531625311</c:v>
                </c:pt>
                <c:pt idx="22">
                  <c:v>172.39313572542903</c:v>
                </c:pt>
                <c:pt idx="23">
                  <c:v>169.45112781954887</c:v>
                </c:pt>
                <c:pt idx="24">
                  <c:v>169.09481481481478</c:v>
                </c:pt>
                <c:pt idx="25">
                  <c:v>165.20320466132532</c:v>
                </c:pt>
                <c:pt idx="26">
                  <c:v>158.04347826086945</c:v>
                </c:pt>
                <c:pt idx="27">
                  <c:v>143.89065743944639</c:v>
                </c:pt>
                <c:pt idx="28">
                  <c:v>143.69177608845888</c:v>
                </c:pt>
                <c:pt idx="29">
                  <c:v>142</c:v>
                </c:pt>
                <c:pt idx="30">
                  <c:v>131.34328358208961</c:v>
                </c:pt>
                <c:pt idx="31">
                  <c:v>134.57760314341834</c:v>
                </c:pt>
                <c:pt idx="32">
                  <c:v>137.52455795677798</c:v>
                </c:pt>
                <c:pt idx="33">
                  <c:v>142.857142857143</c:v>
                </c:pt>
                <c:pt idx="34">
                  <c:v>144.62416745956233</c:v>
                </c:pt>
                <c:pt idx="35">
                  <c:v>160.97105508870212</c:v>
                </c:pt>
                <c:pt idx="36">
                  <c:v>158.2799634034765</c:v>
                </c:pt>
                <c:pt idx="37">
                  <c:v>187.05035971223032</c:v>
                </c:pt>
                <c:pt idx="38">
                  <c:v>199.64664310954049</c:v>
                </c:pt>
                <c:pt idx="39">
                  <c:v>170.79646017699116</c:v>
                </c:pt>
                <c:pt idx="40">
                  <c:v>157.42397137745988</c:v>
                </c:pt>
                <c:pt idx="41">
                  <c:v>163.05290546400695</c:v>
                </c:pt>
                <c:pt idx="42">
                  <c:v>205.17241379310335</c:v>
                </c:pt>
                <c:pt idx="43">
                  <c:v>214.81178396072011</c:v>
                </c:pt>
                <c:pt idx="44">
                  <c:v>229.76098689282964</c:v>
                </c:pt>
                <c:pt idx="45">
                  <c:v>263.23867996930159</c:v>
                </c:pt>
                <c:pt idx="46">
                  <c:v>294.80519480519456</c:v>
                </c:pt>
                <c:pt idx="47">
                  <c:v>353.80507343124162</c:v>
                </c:pt>
                <c:pt idx="48">
                  <c:v>390.60489060489107</c:v>
                </c:pt>
                <c:pt idx="49">
                  <c:v>377.39463601532572</c:v>
                </c:pt>
                <c:pt idx="50">
                  <c:v>373.89100126742699</c:v>
                </c:pt>
                <c:pt idx="51">
                  <c:v>304.72636815920373</c:v>
                </c:pt>
                <c:pt idx="52">
                  <c:v>212.8991859737007</c:v>
                </c:pt>
                <c:pt idx="53">
                  <c:v>180.64516129032233</c:v>
                </c:pt>
                <c:pt idx="54">
                  <c:v>229.76501305483032</c:v>
                </c:pt>
                <c:pt idx="55">
                  <c:v>233.54838709677421</c:v>
                </c:pt>
                <c:pt idx="56">
                  <c:v>234.99361430395913</c:v>
                </c:pt>
                <c:pt idx="57">
                  <c:v>229.55974842767307</c:v>
                </c:pt>
                <c:pt idx="58">
                  <c:v>166.87422166874211</c:v>
                </c:pt>
                <c:pt idx="59">
                  <c:v>267.41293532338307</c:v>
                </c:pt>
                <c:pt idx="60">
                  <c:v>231.70731707317071</c:v>
                </c:pt>
                <c:pt idx="61">
                  <c:v>217.94099939795316</c:v>
                </c:pt>
                <c:pt idx="62">
                  <c:v>174.21602787456445</c:v>
                </c:pt>
                <c:pt idx="63">
                  <c:v>159.05147484094854</c:v>
                </c:pt>
                <c:pt idx="64">
                  <c:v>182.29166666666654</c:v>
                </c:pt>
                <c:pt idx="65">
                  <c:v>165.79406631762666</c:v>
                </c:pt>
                <c:pt idx="66">
                  <c:v>178.09021675454014</c:v>
                </c:pt>
                <c:pt idx="67">
                  <c:v>158.84057971014482</c:v>
                </c:pt>
                <c:pt idx="68">
                  <c:v>149.88558352402734</c:v>
                </c:pt>
                <c:pt idx="69">
                  <c:v>150.22421524663676</c:v>
                </c:pt>
                <c:pt idx="70">
                  <c:v>147.59535655058053</c:v>
                </c:pt>
                <c:pt idx="71">
                  <c:v>149.80863860032804</c:v>
                </c:pt>
                <c:pt idx="72">
                  <c:v>150.27322404371571</c:v>
                </c:pt>
                <c:pt idx="73">
                  <c:v>138.35470085470087</c:v>
                </c:pt>
                <c:pt idx="74">
                  <c:v>122.57405515832475</c:v>
                </c:pt>
                <c:pt idx="75">
                  <c:v>117.94102948525754</c:v>
                </c:pt>
                <c:pt idx="76">
                  <c:v>120.36108324974929</c:v>
                </c:pt>
                <c:pt idx="77">
                  <c:v>121.33072407045005</c:v>
                </c:pt>
                <c:pt idx="78">
                  <c:v>124.45730824891461</c:v>
                </c:pt>
                <c:pt idx="79">
                  <c:v>123.48079727758864</c:v>
                </c:pt>
                <c:pt idx="80">
                  <c:v>149.05399169358552</c:v>
                </c:pt>
                <c:pt idx="81">
                  <c:v>177.20951099147587</c:v>
                </c:pt>
                <c:pt idx="82">
                  <c:v>197.46614242027084</c:v>
                </c:pt>
                <c:pt idx="83">
                  <c:v>192.63698630136986</c:v>
                </c:pt>
                <c:pt idx="84">
                  <c:v>204.88010096760641</c:v>
                </c:pt>
                <c:pt idx="85">
                  <c:v>252.38292581848347</c:v>
                </c:pt>
                <c:pt idx="86">
                  <c:v>256.08766233766232</c:v>
                </c:pt>
                <c:pt idx="87">
                  <c:v>240.93986459577837</c:v>
                </c:pt>
                <c:pt idx="88">
                  <c:v>197.03644373247911</c:v>
                </c:pt>
                <c:pt idx="89">
                  <c:v>173.34905660377359</c:v>
                </c:pt>
                <c:pt idx="90">
                  <c:v>167.38197424892704</c:v>
                </c:pt>
                <c:pt idx="91">
                  <c:v>189.18918918918919</c:v>
                </c:pt>
                <c:pt idx="92">
                  <c:v>177.23880597014914</c:v>
                </c:pt>
                <c:pt idx="93">
                  <c:v>175.4834002188982</c:v>
                </c:pt>
                <c:pt idx="94">
                  <c:v>167.96875</c:v>
                </c:pt>
                <c:pt idx="95">
                  <c:v>182.81084889045451</c:v>
                </c:pt>
                <c:pt idx="96">
                  <c:v>189.18918918918922</c:v>
                </c:pt>
                <c:pt idx="97">
                  <c:v>179.18676774638178</c:v>
                </c:pt>
                <c:pt idx="98">
                  <c:v>183.27645051194528</c:v>
                </c:pt>
                <c:pt idx="99">
                  <c:v>178.73638561147882</c:v>
                </c:pt>
                <c:pt idx="100">
                  <c:v>194.98787969144274</c:v>
                </c:pt>
                <c:pt idx="101">
                  <c:v>162.69025433564346</c:v>
                </c:pt>
                <c:pt idx="102">
                  <c:v>162.58355559945974</c:v>
                </c:pt>
                <c:pt idx="103">
                  <c:v>163.09444996138143</c:v>
                </c:pt>
                <c:pt idx="104">
                  <c:v>162.92655888131534</c:v>
                </c:pt>
                <c:pt idx="105">
                  <c:v>169.24353598881873</c:v>
                </c:pt>
                <c:pt idx="106">
                  <c:v>176.48568861506868</c:v>
                </c:pt>
                <c:pt idx="107">
                  <c:v>194.20903954802259</c:v>
                </c:pt>
                <c:pt idx="108">
                  <c:v>189.49229179452476</c:v>
                </c:pt>
                <c:pt idx="109">
                  <c:v>203.89555857775818</c:v>
                </c:pt>
                <c:pt idx="110">
                  <c:v>197.40774084217225</c:v>
                </c:pt>
                <c:pt idx="111">
                  <c:v>170.22976262933631</c:v>
                </c:pt>
                <c:pt idx="112">
                  <c:v>186.8016492190734</c:v>
                </c:pt>
                <c:pt idx="113">
                  <c:v>160.50037674339927</c:v>
                </c:pt>
              </c:numCache>
            </c:numRef>
          </c:val>
          <c:smooth val="0"/>
        </c:ser>
        <c:dLbls>
          <c:showLegendKey val="0"/>
          <c:showVal val="0"/>
          <c:showCatName val="0"/>
          <c:showSerName val="0"/>
          <c:showPercent val="0"/>
          <c:showBubbleSize val="0"/>
        </c:dLbls>
        <c:marker val="1"/>
        <c:smooth val="0"/>
        <c:axId val="242707176"/>
        <c:axId val="242707568"/>
      </c:lineChart>
      <c:dateAx>
        <c:axId val="242707176"/>
        <c:scaling>
          <c:orientation val="minMax"/>
        </c:scaling>
        <c:delete val="0"/>
        <c:axPos val="b"/>
        <c:numFmt formatCode="mmm\-yy" sourceLinked="1"/>
        <c:majorTickMark val="out"/>
        <c:minorTickMark val="none"/>
        <c:tickLblPos val="nextTo"/>
        <c:crossAx val="242707568"/>
        <c:crosses val="autoZero"/>
        <c:auto val="1"/>
        <c:lblOffset val="100"/>
        <c:baseTimeUnit val="months"/>
      </c:dateAx>
      <c:valAx>
        <c:axId val="242707568"/>
        <c:scaling>
          <c:orientation val="minMax"/>
        </c:scaling>
        <c:delete val="0"/>
        <c:axPos val="l"/>
        <c:majorGridlines>
          <c:spPr>
            <a:ln>
              <a:prstDash val="sysDash"/>
            </a:ln>
          </c:spPr>
        </c:majorGridlines>
        <c:title>
          <c:tx>
            <c:rich>
              <a:bodyPr rot="-5400000" vert="horz"/>
              <a:lstStyle/>
              <a:p>
                <a:pPr>
                  <a:defRPr/>
                </a:pPr>
                <a:r>
                  <a:rPr lang="en-US"/>
                  <a:t>Real price (Birr/100kgs)</a:t>
                </a:r>
              </a:p>
            </c:rich>
          </c:tx>
          <c:overlay val="0"/>
        </c:title>
        <c:numFmt formatCode="0" sourceLinked="1"/>
        <c:majorTickMark val="out"/>
        <c:minorTickMark val="none"/>
        <c:tickLblPos val="nextTo"/>
        <c:crossAx val="242707176"/>
        <c:crosses val="autoZero"/>
        <c:crossBetween val="between"/>
      </c:valAx>
      <c:spPr>
        <a:ln w="19050"/>
      </c:spPr>
    </c:plotArea>
    <c:legend>
      <c:legendPos val="r"/>
      <c:legendEntry>
        <c:idx val="0"/>
        <c:txPr>
          <a:bodyPr/>
          <a:lstStyle/>
          <a:p>
            <a:pPr>
              <a:defRPr b="1"/>
            </a:pPr>
            <a:endParaRPr lang="en-US"/>
          </a:p>
        </c:txPr>
      </c:legendEntry>
      <c:legendEntry>
        <c:idx val="1"/>
        <c:txPr>
          <a:bodyPr/>
          <a:lstStyle/>
          <a:p>
            <a:pPr>
              <a:defRPr b="1"/>
            </a:pPr>
            <a:endParaRPr lang="en-US"/>
          </a:p>
        </c:txPr>
      </c:legendEntry>
      <c:legendEntry>
        <c:idx val="2"/>
        <c:txPr>
          <a:bodyPr/>
          <a:lstStyle/>
          <a:p>
            <a:pPr>
              <a:defRPr b="1"/>
            </a:pPr>
            <a:endParaRPr lang="en-US"/>
          </a:p>
        </c:txPr>
      </c:legendEntry>
      <c:layout>
        <c:manualLayout>
          <c:xMode val="edge"/>
          <c:yMode val="edge"/>
          <c:x val="0.18600074990626184"/>
          <c:y val="0.77647200024619689"/>
          <c:w val="0.76062008336309683"/>
          <c:h val="7.0844845986287125E-2"/>
        </c:manualLayout>
      </c:layout>
      <c:overlay val="0"/>
    </c:legend>
    <c:plotVisOnly val="1"/>
    <c:dispBlanksAs val="gap"/>
    <c:showDLblsOverMax val="0"/>
  </c:chart>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Figire</a:t>
            </a:r>
            <a:r>
              <a:rPr lang="en-US" baseline="0"/>
              <a:t> 2</a:t>
            </a:r>
            <a:r>
              <a:rPr lang="en-US"/>
              <a:t>. Fertilizer  Sales(Consumption), 2002-2013 </a:t>
            </a:r>
          </a:p>
        </c:rich>
      </c:tx>
      <c:overlay val="1"/>
    </c:title>
    <c:autoTitleDeleted val="0"/>
    <c:plotArea>
      <c:layout>
        <c:manualLayout>
          <c:layoutTarget val="inner"/>
          <c:xMode val="edge"/>
          <c:yMode val="edge"/>
          <c:x val="0.36241486849228011"/>
          <c:y val="2.0810436591654127E-2"/>
          <c:w val="0.63583224796294457"/>
          <c:h val="0.78014176090716258"/>
        </c:manualLayout>
      </c:layout>
      <c:barChart>
        <c:barDir val="col"/>
        <c:grouping val="clustered"/>
        <c:varyColors val="0"/>
        <c:ser>
          <c:idx val="2"/>
          <c:order val="2"/>
          <c:tx>
            <c:strRef>
              <c:f>'FERTILIZER STOCK'!$W$6</c:f>
              <c:strCache>
                <c:ptCount val="1"/>
                <c:pt idx="0">
                  <c:v>Total</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tx1"/>
                </a:solidFill>
                <a:prstDash val="dashDot"/>
                <a:tailEnd type="stealth"/>
              </a:ln>
            </c:spPr>
            <c:trendlineType val="linear"/>
            <c:dispRSqr val="0"/>
            <c:dispEq val="0"/>
          </c:trendline>
          <c:cat>
            <c:numRef>
              <c:f>'FERTILIZER STOCK'!$T$7:$T$18</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'FERTILIZER STOCK'!$W$7:$W$18</c:f>
              <c:numCache>
                <c:formatCode>_(* #,##0_);_(* \(#,##0\);_(* "-"??_);_(@_)</c:formatCode>
                <c:ptCount val="12"/>
                <c:pt idx="0">
                  <c:v>232270</c:v>
                </c:pt>
                <c:pt idx="1">
                  <c:v>264349</c:v>
                </c:pt>
                <c:pt idx="2">
                  <c:v>322942</c:v>
                </c:pt>
                <c:pt idx="3">
                  <c:v>346554</c:v>
                </c:pt>
                <c:pt idx="4">
                  <c:v>375717</c:v>
                </c:pt>
                <c:pt idx="5">
                  <c:v>388141</c:v>
                </c:pt>
                <c:pt idx="6">
                  <c:v>404756</c:v>
                </c:pt>
                <c:pt idx="7">
                  <c:v>426676</c:v>
                </c:pt>
                <c:pt idx="8">
                  <c:v>553885</c:v>
                </c:pt>
                <c:pt idx="9">
                  <c:v>550578</c:v>
                </c:pt>
                <c:pt idx="10">
                  <c:v>635343</c:v>
                </c:pt>
                <c:pt idx="11">
                  <c:v>729245</c:v>
                </c:pt>
              </c:numCache>
            </c:numRef>
          </c:val>
        </c:ser>
        <c:dLbls>
          <c:showLegendKey val="0"/>
          <c:showVal val="0"/>
          <c:showCatName val="0"/>
          <c:showSerName val="0"/>
          <c:showPercent val="0"/>
          <c:showBubbleSize val="0"/>
        </c:dLbls>
        <c:gapWidth val="92"/>
        <c:overlap val="2"/>
        <c:axId val="242913776"/>
        <c:axId val="242914168"/>
      </c:barChart>
      <c:lineChart>
        <c:grouping val="standard"/>
        <c:varyColors val="0"/>
        <c:ser>
          <c:idx val="0"/>
          <c:order val="0"/>
          <c:tx>
            <c:strRef>
              <c:f>'FERTILIZER STOCK'!$U$6</c:f>
              <c:strCache>
                <c:ptCount val="1"/>
                <c:pt idx="0">
                  <c:v>Dap</c:v>
                </c:pt>
              </c:strCache>
            </c:strRef>
          </c:tx>
          <c:spPr>
            <a:ln w="41275"/>
          </c:spPr>
          <c:marker>
            <c:symbol val="none"/>
          </c:marker>
          <c:cat>
            <c:numRef>
              <c:f>'FERTILIZER STOCK'!$T$7:$T$18</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'FERTILIZER STOCK'!$U$7:$U$18</c:f>
              <c:numCache>
                <c:formatCode>_(* #,##0_);_(* \(#,##0\);_(* "-"??_);_(@_)</c:formatCode>
                <c:ptCount val="12"/>
                <c:pt idx="0">
                  <c:v>155941</c:v>
                </c:pt>
                <c:pt idx="1">
                  <c:v>157955</c:v>
                </c:pt>
                <c:pt idx="2">
                  <c:v>210837</c:v>
                </c:pt>
                <c:pt idx="3">
                  <c:v>224819</c:v>
                </c:pt>
                <c:pt idx="4">
                  <c:v>251156</c:v>
                </c:pt>
                <c:pt idx="5">
                  <c:v>259020</c:v>
                </c:pt>
                <c:pt idx="6">
                  <c:v>265768</c:v>
                </c:pt>
                <c:pt idx="7">
                  <c:v>278239</c:v>
                </c:pt>
                <c:pt idx="8">
                  <c:v>352309</c:v>
                </c:pt>
                <c:pt idx="9">
                  <c:v>350233</c:v>
                </c:pt>
                <c:pt idx="10">
                  <c:v>401817</c:v>
                </c:pt>
                <c:pt idx="11">
                  <c:v>456618</c:v>
                </c:pt>
              </c:numCache>
            </c:numRef>
          </c:val>
          <c:smooth val="0"/>
        </c:ser>
        <c:ser>
          <c:idx val="1"/>
          <c:order val="1"/>
          <c:tx>
            <c:strRef>
              <c:f>'FERTILIZER STOCK'!$V$6</c:f>
              <c:strCache>
                <c:ptCount val="1"/>
                <c:pt idx="0">
                  <c:v>Urea</c:v>
                </c:pt>
              </c:strCache>
            </c:strRef>
          </c:tx>
          <c:spPr>
            <a:ln w="38100"/>
          </c:spPr>
          <c:marker>
            <c:symbol val="none"/>
          </c:marker>
          <c:cat>
            <c:numRef>
              <c:f>'FERTILIZER STOCK'!$T$7:$T$18</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'FERTILIZER STOCK'!$V$7:$V$18</c:f>
              <c:numCache>
                <c:formatCode>_(* #,##0_);_(* \(#,##0\);_(* "-"??_);_(@_)</c:formatCode>
                <c:ptCount val="12"/>
                <c:pt idx="0">
                  <c:v>76329</c:v>
                </c:pt>
                <c:pt idx="1">
                  <c:v>106394</c:v>
                </c:pt>
                <c:pt idx="2">
                  <c:v>112105</c:v>
                </c:pt>
                <c:pt idx="3">
                  <c:v>121735</c:v>
                </c:pt>
                <c:pt idx="4">
                  <c:v>124561</c:v>
                </c:pt>
                <c:pt idx="5">
                  <c:v>129121</c:v>
                </c:pt>
                <c:pt idx="6">
                  <c:v>138988</c:v>
                </c:pt>
                <c:pt idx="7">
                  <c:v>148437</c:v>
                </c:pt>
                <c:pt idx="8">
                  <c:v>201576</c:v>
                </c:pt>
                <c:pt idx="9">
                  <c:v>200345</c:v>
                </c:pt>
                <c:pt idx="10">
                  <c:v>233526</c:v>
                </c:pt>
                <c:pt idx="11">
                  <c:v>272627</c:v>
                </c:pt>
              </c:numCache>
            </c:numRef>
          </c:val>
          <c:smooth val="0"/>
        </c:ser>
        <c:dLbls>
          <c:showLegendKey val="0"/>
          <c:showVal val="0"/>
          <c:showCatName val="0"/>
          <c:showSerName val="0"/>
          <c:showPercent val="0"/>
          <c:showBubbleSize val="0"/>
        </c:dLbls>
        <c:marker val="1"/>
        <c:smooth val="0"/>
        <c:axId val="242913776"/>
        <c:axId val="242914168"/>
      </c:lineChart>
      <c:catAx>
        <c:axId val="24291377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242914168"/>
        <c:crosses val="autoZero"/>
        <c:auto val="1"/>
        <c:lblAlgn val="ctr"/>
        <c:lblOffset val="100"/>
        <c:noMultiLvlLbl val="0"/>
      </c:catAx>
      <c:valAx>
        <c:axId val="242914168"/>
        <c:scaling>
          <c:orientation val="minMax"/>
        </c:scaling>
        <c:delete val="0"/>
        <c:axPos val="l"/>
        <c:majorGridlines/>
        <c:title>
          <c:tx>
            <c:rich>
              <a:bodyPr rot="-5400000" vert="horz"/>
              <a:lstStyle/>
              <a:p>
                <a:pPr>
                  <a:defRPr/>
                </a:pPr>
                <a:r>
                  <a:rPr lang="en-US"/>
                  <a:t>Volume (MT)</a:t>
                </a:r>
              </a:p>
            </c:rich>
          </c:tx>
          <c:layout>
            <c:manualLayout>
              <c:xMode val="edge"/>
              <c:yMode val="edge"/>
              <c:x val="4.2997592625325362E-2"/>
              <c:y val="0.39669378852092479"/>
            </c:manualLayout>
          </c:layout>
          <c:overlay val="0"/>
        </c:title>
        <c:numFmt formatCode="_(* #,##0_);_(* \(#,##0\);_(* &quot;-&quot;??_);_(@_)" sourceLinked="1"/>
        <c:majorTickMark val="out"/>
        <c:minorTickMark val="none"/>
        <c:tickLblPos val="nextTo"/>
        <c:crossAx val="242913776"/>
        <c:crosses val="autoZero"/>
        <c:crossBetween val="between"/>
      </c:valAx>
    </c:plotArea>
    <c:legend>
      <c:legendPos val="r"/>
      <c:overlay val="0"/>
    </c:legend>
    <c:plotVisOnly val="1"/>
    <c:dispBlanksAs val="gap"/>
    <c:showDLblsOverMax val="0"/>
  </c:chart>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4F76-7DD8-47B2-AF30-FA97DCA5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7561</Words>
  <Characters>43100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Mellor</dc:creator>
  <cp:keywords/>
  <dc:description/>
  <cp:lastModifiedBy>John Mellor</cp:lastModifiedBy>
  <cp:revision>2</cp:revision>
  <cp:lastPrinted>2014-07-12T05:55:00Z</cp:lastPrinted>
  <dcterms:created xsi:type="dcterms:W3CDTF">2014-12-04T14:28:00Z</dcterms:created>
  <dcterms:modified xsi:type="dcterms:W3CDTF">2014-12-04T14:28:00Z</dcterms:modified>
</cp:coreProperties>
</file>