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ms-word.document.macroEnabled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 xml:space="preserve">EDUC23A  </w:t>
      </w:r>
      <w:r w:rsidRPr="007662DB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662DB">
        <w:rPr>
          <w:rFonts w:ascii="Cambria" w:hAnsi="Cambria"/>
          <w:b/>
        </w:rPr>
        <w:t>Adolescents and Special Education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ab/>
      </w:r>
      <w:r w:rsidRPr="007662DB">
        <w:rPr>
          <w:rFonts w:ascii="Cambria" w:hAnsi="Cambria"/>
          <w:b/>
        </w:rPr>
        <w:tab/>
      </w:r>
      <w:r w:rsidRPr="007662DB">
        <w:rPr>
          <w:rFonts w:ascii="Cambria" w:hAnsi="Cambria"/>
          <w:b/>
        </w:rPr>
        <w:tab/>
        <w:t>Elaine Metherall Brenneman, Pearson 203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ab/>
      </w:r>
      <w:r w:rsidRPr="007662DB">
        <w:rPr>
          <w:rFonts w:ascii="Cambria" w:hAnsi="Cambria"/>
          <w:b/>
        </w:rPr>
        <w:tab/>
      </w:r>
      <w:r w:rsidRPr="007662DB">
        <w:rPr>
          <w:rFonts w:ascii="Cambria" w:hAnsi="Cambria"/>
          <w:b/>
        </w:rPr>
        <w:tab/>
        <w:t>Class meetings: Thursdays  1:15-2:15pm, EMC in Pearson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>Identity: The social construction of the special needs adolescent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Lee, C. and Jackson, R. (1992) </w:t>
      </w:r>
      <w:r w:rsidRPr="007662DB">
        <w:rPr>
          <w:rFonts w:ascii="Cambria" w:hAnsi="Cambria"/>
          <w:i/>
        </w:rPr>
        <w:t>Faking it</w:t>
      </w:r>
      <w:r w:rsidRPr="007662DB">
        <w:rPr>
          <w:rFonts w:ascii="Cambria" w:hAnsi="Cambria"/>
        </w:rPr>
        <w:t>.  Portsmouth, NH: Boynton Cook Publishers.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McDermott, R. Goldman, S. and Varenne., H. (2006) The cultural work of learning disabilities. </w:t>
      </w:r>
      <w:r w:rsidRPr="007662DB">
        <w:rPr>
          <w:rFonts w:ascii="Cambria" w:hAnsi="Cambria"/>
          <w:i/>
        </w:rPr>
        <w:t xml:space="preserve">Educational Researcher. </w:t>
      </w:r>
      <w:r w:rsidRPr="007662DB">
        <w:rPr>
          <w:rFonts w:ascii="Cambria" w:hAnsi="Cambria"/>
        </w:rPr>
        <w:t>35(6) 12-17.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Larkin, M. and Ellish, E. (1995) Adolescents with learning disabilities.  In Wong, B. (ed).  </w:t>
      </w:r>
      <w:r w:rsidRPr="007662DB">
        <w:rPr>
          <w:rFonts w:ascii="Cambria" w:hAnsi="Cambria"/>
          <w:i/>
        </w:rPr>
        <w:t>Learning about learning disabilities</w:t>
      </w:r>
      <w:r w:rsidRPr="007662DB">
        <w:rPr>
          <w:rFonts w:ascii="Cambria" w:hAnsi="Cambria"/>
        </w:rPr>
        <w:t>.  San Diego, CA: Academic Press.  557-584.</w:t>
      </w:r>
    </w:p>
    <w:p w:rsidR="000F4A78" w:rsidRPr="007662DB" w:rsidRDefault="000F4A78" w:rsidP="00A513CC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</w:p>
    <w:p w:rsidR="000F4A78" w:rsidRPr="007662DB" w:rsidRDefault="000F4A78" w:rsidP="00A513CC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Gregg, Noel (2009) </w:t>
      </w:r>
      <w:r w:rsidRPr="007662DB">
        <w:rPr>
          <w:rFonts w:ascii="Cambria" w:hAnsi="Cambria"/>
          <w:i/>
        </w:rPr>
        <w:t>Adolescents and Adults with Learning Disabilities and ADHDL Assessment and Accommodations</w:t>
      </w:r>
      <w:r w:rsidRPr="007662DB">
        <w:rPr>
          <w:rFonts w:ascii="Cambria" w:hAnsi="Cambria"/>
        </w:rPr>
        <w:t>. New York: Guildford. Chapters 1 and 4.</w:t>
      </w:r>
    </w:p>
    <w:p w:rsidR="000F4A78" w:rsidRPr="007662DB" w:rsidRDefault="000F4A78" w:rsidP="00A513CC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</w:p>
    <w:p w:rsidR="000F4A78" w:rsidRPr="007662DB" w:rsidRDefault="000F4A78" w:rsidP="00A513CC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Attwood, T. (2007) </w:t>
      </w:r>
      <w:r w:rsidRPr="007662DB">
        <w:rPr>
          <w:rFonts w:ascii="Cambria" w:hAnsi="Cambria"/>
          <w:i/>
        </w:rPr>
        <w:t>The Complete Guide to Asperger’s Syndrome</w:t>
      </w:r>
      <w:r w:rsidRPr="007662DB">
        <w:rPr>
          <w:rFonts w:ascii="Cambria" w:hAnsi="Cambria"/>
        </w:rPr>
        <w:t>. London, UK: Jessica Kingsley Publishing. Chapter 1.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>Multiple selves: Special needs/gender/race/class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Asch, A., Rousso, H. and Jefferies, T. (2001)  Beyond pedestals: The lives of girls and women with disabilities</w:t>
      </w:r>
      <w:r w:rsidRPr="007662DB">
        <w:rPr>
          <w:rFonts w:ascii="Cambria" w:hAnsi="Cambria"/>
          <w:i/>
        </w:rPr>
        <w:t>.</w:t>
      </w:r>
      <w:r w:rsidRPr="007662DB">
        <w:rPr>
          <w:rFonts w:ascii="Cambria" w:hAnsi="Cambria"/>
        </w:rPr>
        <w:t xml:space="preserve">  In Rousso, H. and Wehmeyer, M.  </w:t>
      </w:r>
      <w:r w:rsidRPr="007662DB">
        <w:rPr>
          <w:rFonts w:ascii="Cambria" w:hAnsi="Cambria"/>
          <w:i/>
        </w:rPr>
        <w:t>Double Jeopardy</w:t>
      </w:r>
      <w:r w:rsidRPr="007662DB">
        <w:rPr>
          <w:rFonts w:ascii="Cambria" w:hAnsi="Cambria"/>
        </w:rPr>
        <w:t>.  Albany, NY: SUNY Press.  13-48.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Blanchett, W. (2006) Disproportionate representation of African American students in special education: Acknowledging the role of white privilege and racism. </w:t>
      </w:r>
      <w:r w:rsidRPr="007662DB">
        <w:rPr>
          <w:rFonts w:ascii="Cambria" w:hAnsi="Cambria"/>
          <w:i/>
        </w:rPr>
        <w:t xml:space="preserve">Educational Researcher. </w:t>
      </w:r>
      <w:r w:rsidRPr="007662DB">
        <w:rPr>
          <w:rFonts w:ascii="Cambria" w:hAnsi="Cambria"/>
        </w:rPr>
        <w:t>35(6) 24-28.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Medina, C. and Lune, G. (2006) Suicide Attempts among Adolescent Mexican American Students Enrolled in Special Education Classes.  </w:t>
      </w:r>
      <w:r w:rsidRPr="007662DB">
        <w:rPr>
          <w:rFonts w:ascii="Cambria" w:hAnsi="Cambria"/>
          <w:i/>
        </w:rPr>
        <w:t>Adolescence</w:t>
      </w:r>
      <w:r w:rsidRPr="007662DB">
        <w:rPr>
          <w:rFonts w:ascii="Cambria" w:hAnsi="Cambria"/>
        </w:rPr>
        <w:t>, v41, n162, P. 299-312, Summer.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0" w:firstLine="0"/>
        <w:rPr>
          <w:rFonts w:ascii="Cambria" w:hAnsi="Cambria"/>
          <w:i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>Special Education: Frameworks and legal guidelines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Harwell, J. (2001) Complete Learning Disabilities Handbook.  Paramus, NJ: The Center for Applied Research in Education.  Chapters 1 and 2.  1-38.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Turnbull, R., Turnbull, A., Shank, M. Smith, S. and Leal, D. (2002)  Exceptional Lives.  Upper Saddle River, NJ: Merrill Prentice Hall.  Chapter 1. 2-39.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F448C0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www. wrightslaw.com</w:t>
      </w:r>
    </w:p>
    <w:p w:rsidR="000F4A78" w:rsidRPr="007662DB" w:rsidRDefault="000F4A78" w:rsidP="002D5F6E">
      <w:pPr>
        <w:pStyle w:val="BodyTextIndent"/>
        <w:tabs>
          <w:tab w:val="left" w:pos="1170"/>
        </w:tabs>
        <w:ind w:left="0" w:firstLine="0"/>
        <w:rPr>
          <w:rFonts w:ascii="Cambria" w:hAnsi="Cambria"/>
        </w:rPr>
      </w:pPr>
    </w:p>
    <w:p w:rsidR="000F4A78" w:rsidRPr="007662DB" w:rsidRDefault="000F4A78" w:rsidP="00F448C0">
      <w:pPr>
        <w:pStyle w:val="BodyTextIndent"/>
        <w:tabs>
          <w:tab w:val="left" w:pos="1170"/>
        </w:tabs>
        <w:ind w:left="0" w:firstLine="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>Adolescent issues in special education: Families, transitions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0" w:firstLine="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Hauster-Cram, P. and Krauss, M. (2004) Adolescents with developmental disabilities and their families.  In Lerner, R. and Steinberg, L. (eds.)  </w:t>
      </w:r>
      <w:r w:rsidRPr="007662DB">
        <w:rPr>
          <w:rFonts w:ascii="Cambria" w:hAnsi="Cambria"/>
          <w:i/>
        </w:rPr>
        <w:t>Handbook of Adolescent Psychology</w:t>
      </w:r>
      <w:r w:rsidRPr="007662DB">
        <w:rPr>
          <w:rFonts w:ascii="Cambria" w:hAnsi="Cambria"/>
        </w:rPr>
        <w:t>.  Hoboken, NJ: John Wiley &amp; Sons. 697-719.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ind w:left="720" w:right="180" w:hanging="540"/>
        <w:rPr>
          <w:rFonts w:ascii="Cambria" w:hAnsi="Cambria"/>
        </w:rPr>
      </w:pPr>
      <w:r w:rsidRPr="007662DB">
        <w:rPr>
          <w:rFonts w:ascii="Cambria" w:hAnsi="Cambria"/>
        </w:rPr>
        <w:t xml:space="preserve">Levine, P. and Wagner, M. (2005) Transition for young adults who received special education services as adolescents: A time of challenge and change. In Osgood, D., Foster, E. Flanagan, C. and Ruth, G. (eds.) </w:t>
      </w:r>
      <w:r w:rsidRPr="007662DB">
        <w:rPr>
          <w:rFonts w:ascii="Cambria" w:hAnsi="Cambria"/>
          <w:i/>
        </w:rPr>
        <w:t>On Your Own Without a Net: The Transition to Adulthood for Vulnerable Populations</w:t>
      </w:r>
      <w:r w:rsidRPr="007662DB">
        <w:rPr>
          <w:rFonts w:ascii="Cambria" w:hAnsi="Cambria"/>
        </w:rPr>
        <w:t>.  Chicago, IL: University of Chicago Press.  202-238.</w:t>
      </w:r>
    </w:p>
    <w:p w:rsidR="000F4A78" w:rsidRPr="007662DB" w:rsidRDefault="000F4A78" w:rsidP="00A513CC">
      <w:pPr>
        <w:ind w:left="720"/>
        <w:rPr>
          <w:rFonts w:ascii="Cambria" w:hAnsi="Cambria"/>
        </w:rPr>
      </w:pPr>
    </w:p>
    <w:p w:rsidR="000F4A78" w:rsidRPr="007662DB" w:rsidRDefault="000F4A78" w:rsidP="007662DB">
      <w:pPr>
        <w:ind w:left="270" w:right="-180"/>
        <w:rPr>
          <w:rFonts w:ascii="Cambria" w:hAnsi="Cambria"/>
        </w:rPr>
      </w:pPr>
      <w:r w:rsidRPr="007662DB">
        <w:rPr>
          <w:rFonts w:ascii="Cambria" w:hAnsi="Cambria"/>
        </w:rPr>
        <w:t xml:space="preserve">Blum, R. (2005) Adolescents with disabilities in transition to adulthood. In Osgood, D., Foster, E. Flanagan, C. and Ruth, G. (eds.) </w:t>
      </w:r>
      <w:r w:rsidRPr="007662DB">
        <w:rPr>
          <w:rFonts w:ascii="Cambria" w:hAnsi="Cambria"/>
          <w:i/>
        </w:rPr>
        <w:t>On Your Own Without a Net: The Transition to Adulthood for Vulnerable Populations</w:t>
      </w:r>
      <w:r w:rsidRPr="007662DB">
        <w:rPr>
          <w:rFonts w:ascii="Cambria" w:hAnsi="Cambria"/>
        </w:rPr>
        <w:t>.  Chicago, IL: University of Chicago Press.  323-348.</w:t>
      </w:r>
    </w:p>
    <w:p w:rsidR="000F4A78" w:rsidRPr="007662DB" w:rsidRDefault="000F4A78" w:rsidP="00A513CC">
      <w:pPr>
        <w:ind w:left="720" w:right="-180" w:hanging="450"/>
        <w:rPr>
          <w:rFonts w:ascii="Cambria" w:hAnsi="Cambria"/>
        </w:rPr>
      </w:pPr>
    </w:p>
    <w:p w:rsidR="000F4A78" w:rsidRPr="007662DB" w:rsidRDefault="000F4A78" w:rsidP="008A5A11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Attwood, T. (2007) </w:t>
      </w:r>
      <w:r w:rsidRPr="007662DB">
        <w:rPr>
          <w:rFonts w:ascii="Cambria" w:hAnsi="Cambria"/>
          <w:i/>
        </w:rPr>
        <w:t>The Complete Guide to Asperger’s Syndrome</w:t>
      </w:r>
      <w:r w:rsidRPr="007662DB">
        <w:rPr>
          <w:rFonts w:ascii="Cambria" w:hAnsi="Cambria"/>
        </w:rPr>
        <w:t>. London, UK: Jessica Kingsley Publishing. Chapter 4.</w:t>
      </w:r>
    </w:p>
    <w:p w:rsidR="000F4A78" w:rsidRPr="007662DB" w:rsidRDefault="000F4A78" w:rsidP="008A5A11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</w:p>
    <w:p w:rsidR="000F4A78" w:rsidRPr="007662DB" w:rsidRDefault="000F4A78" w:rsidP="008A5A11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  <w:r w:rsidRPr="007662DB">
        <w:rPr>
          <w:rFonts w:ascii="Cambria" w:hAnsi="Cambria"/>
        </w:rPr>
        <w:t>Waber, Deborah P. (2010) Rethinking Learning Disabilities. New York: Guildford press. Chapter 4.</w:t>
      </w:r>
    </w:p>
    <w:p w:rsidR="000F4A78" w:rsidRPr="007662DB" w:rsidRDefault="000F4A78" w:rsidP="008A5A11">
      <w:pPr>
        <w:tabs>
          <w:tab w:val="left" w:pos="630"/>
          <w:tab w:val="left" w:pos="900"/>
        </w:tabs>
        <w:ind w:left="720" w:right="-270" w:hanging="720"/>
        <w:rPr>
          <w:rFonts w:ascii="Cambria" w:hAnsi="Cambria"/>
        </w:rPr>
      </w:pPr>
    </w:p>
    <w:p w:rsidR="000F4A78" w:rsidRPr="007662DB" w:rsidRDefault="000F4A78" w:rsidP="0073514E">
      <w:pPr>
        <w:pStyle w:val="BodyTextIndent"/>
        <w:tabs>
          <w:tab w:val="left" w:pos="1170"/>
        </w:tabs>
        <w:ind w:left="0" w:firstLine="0"/>
        <w:rPr>
          <w:rFonts w:ascii="Cambria" w:hAnsi="Cambria"/>
          <w:b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  <w:r w:rsidRPr="007662DB">
        <w:rPr>
          <w:rFonts w:ascii="Cambria" w:hAnsi="Cambria"/>
          <w:b/>
        </w:rPr>
        <w:t xml:space="preserve">Strategies for meeting the school needs of diverse adolescents 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  <w:b/>
        </w:rPr>
      </w:pPr>
    </w:p>
    <w:p w:rsidR="000F4A78" w:rsidRPr="007662DB" w:rsidRDefault="000F4A78" w:rsidP="00F448C0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Larkin, M. and Ellis, E. (2004) Strategic academic interventions for adolescents with learning disabilities.  In Wong, B. (ed.) </w:t>
      </w:r>
      <w:r w:rsidRPr="007662DB">
        <w:rPr>
          <w:rFonts w:ascii="Cambria" w:hAnsi="Cambria"/>
          <w:i/>
        </w:rPr>
        <w:t>Learning About Learning Disabilities.</w:t>
      </w:r>
      <w:r w:rsidRPr="007662DB">
        <w:rPr>
          <w:rFonts w:ascii="Cambria" w:hAnsi="Cambria"/>
        </w:rPr>
        <w:t xml:space="preserve">  San Diego, CA: Academic Press.  375-414.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Lenz, B. and Deshler, D. (2004) Adolescents with learning disabilities: Revisiting The Educator’s Enigma. In Wong, B. (ed.) </w:t>
      </w:r>
      <w:r w:rsidRPr="007662DB">
        <w:rPr>
          <w:rFonts w:ascii="Cambria" w:hAnsi="Cambria"/>
          <w:i/>
        </w:rPr>
        <w:t>Learning About Learning Disabilities.</w:t>
      </w:r>
      <w:r w:rsidRPr="007662DB">
        <w:rPr>
          <w:rFonts w:ascii="Cambria" w:hAnsi="Cambria"/>
        </w:rPr>
        <w:t xml:space="preserve">  San Diego, CA: Academic Press.  535-564.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Minskoff, E. and Allsopp, D. (2003) </w:t>
      </w:r>
      <w:r w:rsidRPr="007662DB">
        <w:rPr>
          <w:rFonts w:ascii="Cambria" w:hAnsi="Cambria"/>
          <w:i/>
        </w:rPr>
        <w:t>Academic Success Strategies for Adolescents with Learning Disabilities and ADHD</w:t>
      </w:r>
      <w:r w:rsidRPr="007662DB">
        <w:rPr>
          <w:rFonts w:ascii="Cambria" w:hAnsi="Cambria"/>
        </w:rPr>
        <w:t>.  Baltimore, MD: Paul H. Brookes Publishing.  Chapters 5 and one or more from 6-13.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Gregg, Noel (2009) Adolescents and Adults with Learning Disabilities. New York: Guildford Press. Choose one chapter from last four.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>Palombo, J. (2006) Nonverbal learning disabilities: a clinical perspective. New York: Norton and Co. Chapter 2.</w:t>
      </w:r>
    </w:p>
    <w:p w:rsidR="000F4A78" w:rsidRPr="007662DB" w:rsidRDefault="000F4A78" w:rsidP="00A513CC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</w:p>
    <w:p w:rsidR="000F4A78" w:rsidRPr="007662DB" w:rsidRDefault="000F4A78" w:rsidP="007662DB">
      <w:pPr>
        <w:pStyle w:val="BodyTextIndent"/>
        <w:tabs>
          <w:tab w:val="left" w:pos="1170"/>
        </w:tabs>
        <w:ind w:left="720" w:hanging="720"/>
        <w:rPr>
          <w:rFonts w:ascii="Cambria" w:hAnsi="Cambria"/>
        </w:rPr>
      </w:pPr>
      <w:r w:rsidRPr="007662DB">
        <w:rPr>
          <w:rFonts w:ascii="Cambria" w:hAnsi="Cambria"/>
        </w:rPr>
        <w:t xml:space="preserve">Deshler, D. and Schumaker, J. (2006)  </w:t>
      </w:r>
      <w:r w:rsidRPr="007662DB">
        <w:rPr>
          <w:rFonts w:ascii="Cambria" w:hAnsi="Cambria"/>
          <w:i/>
        </w:rPr>
        <w:t>Teaching Adolescents with Disabilities</w:t>
      </w:r>
      <w:r w:rsidRPr="007662DB">
        <w:rPr>
          <w:rFonts w:ascii="Cambria" w:hAnsi="Cambria"/>
        </w:rPr>
        <w:t>.  Thousand Oaks, CA: Corwin Press. Chapt. 3, 4 and 5</w:t>
      </w:r>
    </w:p>
    <w:p w:rsidR="000F4A78" w:rsidRPr="007662DB" w:rsidRDefault="000F4A78" w:rsidP="008A5A11">
      <w:pPr>
        <w:rPr>
          <w:rFonts w:ascii="Cambria" w:hAnsi="Cambria"/>
        </w:rPr>
      </w:pPr>
    </w:p>
    <w:p w:rsidR="000F4A78" w:rsidRPr="007662DB" w:rsidRDefault="000F4A78" w:rsidP="008A5A11">
      <w:pPr>
        <w:rPr>
          <w:rFonts w:ascii="Cambria" w:hAnsi="Cambria"/>
        </w:rPr>
      </w:pPr>
      <w:r w:rsidRPr="007662DB">
        <w:rPr>
          <w:rFonts w:ascii="Cambria" w:hAnsi="Cambria"/>
        </w:rPr>
        <w:t xml:space="preserve">Parker D. and Boutelle, K. (2009) Executive Function Coaching for College Students with Learning Disabilities and ADHD: A New Approach for Fostering Self-Determination.  </w:t>
      </w:r>
      <w:r w:rsidRPr="007662DB">
        <w:rPr>
          <w:rFonts w:ascii="Cambria" w:hAnsi="Cambria"/>
          <w:i/>
        </w:rPr>
        <w:t>Learning Disabilities Research and Practice</w:t>
      </w:r>
      <w:r w:rsidRPr="007662DB">
        <w:rPr>
          <w:rFonts w:ascii="Cambria" w:hAnsi="Cambria"/>
        </w:rPr>
        <w:t>, v24, n4, p. 204-215, Nov.</w:t>
      </w: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8A5A11">
      <w:pPr>
        <w:rPr>
          <w:rFonts w:ascii="Arial Narrow" w:hAnsi="Arial Narrow"/>
        </w:rPr>
      </w:pPr>
    </w:p>
    <w:p w:rsidR="000F4A78" w:rsidRPr="007662DB" w:rsidRDefault="000F4A78" w:rsidP="00A513CC">
      <w:pPr>
        <w:ind w:left="720"/>
        <w:rPr>
          <w:rFonts w:ascii="Arial Narrow" w:hAnsi="Arial Narrow"/>
        </w:rPr>
      </w:pPr>
    </w:p>
    <w:p w:rsidR="000F4A78" w:rsidRPr="007662DB" w:rsidRDefault="000F4A78" w:rsidP="00A513CC">
      <w:pPr>
        <w:ind w:left="720"/>
        <w:rPr>
          <w:rFonts w:ascii="Arial Narrow" w:hAnsi="Arial Narrow"/>
        </w:rPr>
      </w:pPr>
    </w:p>
    <w:p w:rsidR="000F4A78" w:rsidRPr="007662DB" w:rsidRDefault="000F4A78" w:rsidP="00A513CC">
      <w:pPr>
        <w:rPr>
          <w:rFonts w:ascii="Arial Narrow" w:hAnsi="Arial Narrow"/>
          <w:sz w:val="20"/>
        </w:rPr>
      </w:pPr>
    </w:p>
    <w:p w:rsidR="000F4A78" w:rsidRDefault="000F4A78"/>
    <w:sectPr w:rsidR="000F4A78" w:rsidSect="007351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3CC"/>
    <w:rsid w:val="000F4A78"/>
    <w:rsid w:val="002D5F6E"/>
    <w:rsid w:val="004D6F6E"/>
    <w:rsid w:val="005B4A87"/>
    <w:rsid w:val="00600D0E"/>
    <w:rsid w:val="00667B79"/>
    <w:rsid w:val="006950F6"/>
    <w:rsid w:val="006A020D"/>
    <w:rsid w:val="0073514E"/>
    <w:rsid w:val="007662DB"/>
    <w:rsid w:val="007C4362"/>
    <w:rsid w:val="00811A87"/>
    <w:rsid w:val="008A5A11"/>
    <w:rsid w:val="009E3C43"/>
    <w:rsid w:val="00A223A4"/>
    <w:rsid w:val="00A513CC"/>
    <w:rsid w:val="00B502A8"/>
    <w:rsid w:val="00F448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C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513CC"/>
    <w:pPr>
      <w:ind w:left="1080" w:hanging="36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13CC"/>
    <w:rPr>
      <w:rFonts w:ascii="Times" w:hAnsi="Times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EDUC23A  </dc:title>
  <dc:subject/>
  <dc:creator>Elaine Brenneman</dc:creator>
  <cp:keywords/>
  <cp:lastModifiedBy>Richard Kalwaic</cp:lastModifiedBy>
  <cp:revision>2</cp:revision>
  <dcterms:created xsi:type="dcterms:W3CDTF">2010-11-22T18:09:00Z</dcterms:created>
  <dcterms:modified xsi:type="dcterms:W3CDTF">2010-11-22T18:09:00Z</dcterms:modified>
</cp:coreProperties>
</file>