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0601" w14:textId="2F592347" w:rsidR="00B52C5B" w:rsidRPr="003F73E4" w:rsidRDefault="00B52C5B">
      <w:pPr>
        <w:rPr>
          <w:b/>
        </w:rPr>
      </w:pPr>
      <w:r w:rsidRPr="003F73E4">
        <w:rPr>
          <w:b/>
        </w:rPr>
        <w:t>English 116</w:t>
      </w:r>
      <w:r w:rsidR="00EC3E91">
        <w:rPr>
          <w:b/>
        </w:rPr>
        <w:t xml:space="preserve">: the </w:t>
      </w:r>
      <w:r w:rsidRPr="003F73E4">
        <w:rPr>
          <w:b/>
        </w:rPr>
        <w:t>American Literature Honors seminar</w:t>
      </w:r>
    </w:p>
    <w:p w14:paraId="754714B9" w14:textId="07DE1EBA" w:rsidR="00B52C5B" w:rsidRPr="00CA7051" w:rsidRDefault="00CA7051">
      <w:pPr>
        <w:rPr>
          <w:b/>
        </w:rPr>
      </w:pPr>
      <w:r w:rsidRPr="00CA7051">
        <w:rPr>
          <w:b/>
        </w:rPr>
        <w:t>Fall 2016</w:t>
      </w:r>
      <w:r w:rsidR="00EC3E91">
        <w:rPr>
          <w:b/>
        </w:rPr>
        <w:t xml:space="preserve"> Swarthmore College, Department of English Literature</w:t>
      </w:r>
    </w:p>
    <w:p w14:paraId="42F2FE89" w14:textId="77777777" w:rsidR="00B52C5B" w:rsidRDefault="00B52C5B">
      <w:r>
        <w:t>Prof. Peter Schmidt</w:t>
      </w:r>
    </w:p>
    <w:p w14:paraId="25C53038" w14:textId="77777777" w:rsidR="009F468A" w:rsidRDefault="009F468A"/>
    <w:p w14:paraId="533DD60E" w14:textId="5D0E271C" w:rsidR="00FE5F0B" w:rsidRPr="007E1A19" w:rsidRDefault="000664C2" w:rsidP="00FE5F0B">
      <w:pPr>
        <w:ind w:left="36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E1A1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E5F0B" w:rsidRPr="007E1A1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“I did not tell you that it would be okay, because I have never believed it would be okay. </w:t>
      </w:r>
      <w:r w:rsidR="00FE5F0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E5F0B" w:rsidRPr="007E1A1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What I told you is what your grandparents tried to tell me: that this is your country, that this is your world, that this is your body, and you must find some way to live within the all of it.” </w:t>
      </w:r>
    </w:p>
    <w:p w14:paraId="0649BF2A" w14:textId="77777777" w:rsidR="00FE5F0B" w:rsidRDefault="00FE5F0B" w:rsidP="00FE5F0B">
      <w:pPr>
        <w:ind w:left="36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E1A1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–Ta-Nehisi Coates, “Letter to My Son,”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Pr="007E1A1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</w:p>
    <w:p w14:paraId="650FA315" w14:textId="77777777" w:rsidR="00FE5F0B" w:rsidRDefault="00FE5F0B">
      <w:pPr>
        <w:rPr>
          <w:b/>
        </w:rPr>
      </w:pPr>
    </w:p>
    <w:p w14:paraId="02FF4CD2" w14:textId="77777777" w:rsidR="000664C2" w:rsidRDefault="000664C2">
      <w:pPr>
        <w:rPr>
          <w:b/>
        </w:rPr>
      </w:pPr>
    </w:p>
    <w:p w14:paraId="61E5E9C2" w14:textId="035BE8AC" w:rsidR="00D37158" w:rsidRDefault="000664C2">
      <w:r>
        <w:rPr>
          <w:b/>
        </w:rPr>
        <w:t xml:space="preserve">Topic: </w:t>
      </w:r>
      <w:r w:rsidR="003F73E4" w:rsidRPr="003F73E4">
        <w:rPr>
          <w:b/>
        </w:rPr>
        <w:t>Literature of the U.S. South.</w:t>
      </w:r>
      <w:r w:rsidR="003F73E4">
        <w:t xml:space="preserve">  </w:t>
      </w:r>
      <w:r w:rsidR="00B52C5B">
        <w:t xml:space="preserve">Our focus </w:t>
      </w:r>
      <w:r w:rsidR="007C55BB">
        <w:t xml:space="preserve">in the American Literature seminar this year </w:t>
      </w:r>
      <w:r w:rsidR="00B52C5B">
        <w:t>will be on the long, grand, and problematic tradition of U.S. Southern literature</w:t>
      </w:r>
      <w:r w:rsidR="00D37158">
        <w:t>, especially fiction in both comic and tragic modes</w:t>
      </w:r>
      <w:r w:rsidR="0089452B">
        <w:t xml:space="preserve"> as </w:t>
      </w:r>
      <w:r w:rsidR="00603D2C">
        <w:t>it</w:t>
      </w:r>
      <w:r w:rsidR="0089452B">
        <w:t xml:space="preserve"> developed after the Civil War to the present</w:t>
      </w:r>
      <w:r w:rsidR="00D37158">
        <w:t>.  The South has</w:t>
      </w:r>
      <w:r w:rsidR="00B52C5B">
        <w:t xml:space="preserve"> given </w:t>
      </w:r>
      <w:r w:rsidR="00D37158">
        <w:t>the U.S.</w:t>
      </w:r>
      <w:r w:rsidR="00B52C5B">
        <w:t xml:space="preserve"> some of </w:t>
      </w:r>
      <w:r w:rsidR="00D37158">
        <w:t>its</w:t>
      </w:r>
      <w:r w:rsidR="00B52C5B">
        <w:t xml:space="preserve"> greatest writers</w:t>
      </w:r>
      <w:r w:rsidR="00D37158">
        <w:t>,</w:t>
      </w:r>
      <w:r w:rsidR="00B52C5B">
        <w:t xml:space="preserve"> while also </w:t>
      </w:r>
      <w:r w:rsidR="00D37158">
        <w:t>enacting perhaps more powerfully than any other region</w:t>
      </w:r>
      <w:r w:rsidR="00B52C5B">
        <w:t xml:space="preserve"> the </w:t>
      </w:r>
      <w:r w:rsidR="00D37158">
        <w:t xml:space="preserve">nation’s ongoing </w:t>
      </w:r>
      <w:r w:rsidR="00B52C5B">
        <w:t xml:space="preserve">internal debate regarding </w:t>
      </w:r>
      <w:r w:rsidR="00B3112B">
        <w:t>the nation’s</w:t>
      </w:r>
      <w:r w:rsidR="00B52C5B">
        <w:t xml:space="preserve"> ideals vs.</w:t>
      </w:r>
      <w:r w:rsidR="00D37158">
        <w:t xml:space="preserve"> </w:t>
      </w:r>
      <w:r w:rsidR="00B3112B">
        <w:t xml:space="preserve">its </w:t>
      </w:r>
      <w:r w:rsidR="00D37158">
        <w:t xml:space="preserve">realities, equality vs. rampant inequities, an obsession with the past and yet also a propulsive drive to seize the future.  Most well known for a focus on the paradoxes of </w:t>
      </w:r>
      <w:r w:rsidR="000506CC">
        <w:t>“</w:t>
      </w:r>
      <w:r w:rsidR="00D37158">
        <w:t>race</w:t>
      </w:r>
      <w:r w:rsidR="000506CC">
        <w:t>”</w:t>
      </w:r>
      <w:r w:rsidR="00D37158">
        <w:t xml:space="preserve"> in both </w:t>
      </w:r>
      <w:r w:rsidR="000506CC">
        <w:t xml:space="preserve">the individual and </w:t>
      </w:r>
      <w:r>
        <w:t xml:space="preserve">the </w:t>
      </w:r>
      <w:r w:rsidR="000506CC">
        <w:t>national psyche</w:t>
      </w:r>
      <w:r w:rsidR="00D37158">
        <w:t>, southern literature also exemplifies imaginative writers’ concerns wi</w:t>
      </w:r>
      <w:r w:rsidR="003E3978">
        <w:t xml:space="preserve">th regional history and memory; </w:t>
      </w:r>
      <w:r w:rsidR="00D37158">
        <w:t>oral story-telling as a source of ins</w:t>
      </w:r>
      <w:r w:rsidR="003E3978">
        <w:t>piration for textual experiment;</w:t>
      </w:r>
      <w:r w:rsidR="00D37158">
        <w:t xml:space="preserve"> and a long tradition of </w:t>
      </w:r>
      <w:r w:rsidR="003E3978">
        <w:t xml:space="preserve">understanding that local, regional, </w:t>
      </w:r>
      <w:r w:rsidR="00B3112B">
        <w:t>ethnic</w:t>
      </w:r>
      <w:r w:rsidR="003E3978">
        <w:t>,</w:t>
      </w:r>
      <w:r w:rsidR="00B3112B">
        <w:t xml:space="preserve"> and racial identities are </w:t>
      </w:r>
      <w:r w:rsidR="003E3978">
        <w:t xml:space="preserve">always </w:t>
      </w:r>
      <w:r w:rsidR="004E7653">
        <w:t>marked</w:t>
      </w:r>
      <w:r w:rsidR="00D37158">
        <w:t xml:space="preserve"> </w:t>
      </w:r>
      <w:r w:rsidR="004E7653">
        <w:t xml:space="preserve">by </w:t>
      </w:r>
      <w:r w:rsidR="00D37158" w:rsidRPr="00B3112B">
        <w:rPr>
          <w:i/>
        </w:rPr>
        <w:t>global</w:t>
      </w:r>
      <w:r w:rsidR="00D37158">
        <w:t xml:space="preserve"> connections and crossings</w:t>
      </w:r>
      <w:r w:rsidR="003E3978">
        <w:t>—</w:t>
      </w:r>
      <w:r w:rsidR="000506CC">
        <w:t xml:space="preserve">especially the </w:t>
      </w:r>
      <w:r w:rsidR="003E3978">
        <w:t>U.S.</w:t>
      </w:r>
      <w:r w:rsidR="000506CC">
        <w:t xml:space="preserve"> South’s deep </w:t>
      </w:r>
      <w:r w:rsidR="003E3978">
        <w:t xml:space="preserve">cultural </w:t>
      </w:r>
      <w:r w:rsidR="000506CC">
        <w:t xml:space="preserve">connections to </w:t>
      </w:r>
      <w:r w:rsidR="00375C5E">
        <w:t>“</w:t>
      </w:r>
      <w:r w:rsidR="003E3978">
        <w:t xml:space="preserve">other” tropical Souths in the </w:t>
      </w:r>
      <w:r w:rsidR="000506CC">
        <w:t xml:space="preserve">Caribbean and Latin American </w:t>
      </w:r>
      <w:r w:rsidR="003E3978">
        <w:t>that also experienced</w:t>
      </w:r>
      <w:r w:rsidR="000506CC">
        <w:t xml:space="preserve"> </w:t>
      </w:r>
      <w:r w:rsidR="003E3978">
        <w:t xml:space="preserve">plantation slavery, </w:t>
      </w:r>
      <w:r>
        <w:t xml:space="preserve">settler </w:t>
      </w:r>
      <w:bookmarkStart w:id="0" w:name="_GoBack"/>
      <w:bookmarkEnd w:id="0"/>
      <w:r w:rsidR="00375C5E">
        <w:t>colonial</w:t>
      </w:r>
      <w:r w:rsidR="003E3978">
        <w:t>ism, civil wars, and nationalism</w:t>
      </w:r>
      <w:r w:rsidR="00D37158">
        <w:t xml:space="preserve">. </w:t>
      </w:r>
    </w:p>
    <w:p w14:paraId="71279110" w14:textId="77777777" w:rsidR="007366D7" w:rsidRDefault="007366D7"/>
    <w:p w14:paraId="6AD51F74" w14:textId="0520F971" w:rsidR="000B41AA" w:rsidRDefault="007366D7" w:rsidP="000B41AA">
      <w:r>
        <w:t xml:space="preserve">The reading load </w:t>
      </w:r>
      <w:r w:rsidR="00B3112B">
        <w:t xml:space="preserve">for this seminar </w:t>
      </w:r>
      <w:r>
        <w:t xml:space="preserve">will be heavy but as rich and powerful as the Mississippi River itself.  Students will be asked </w:t>
      </w:r>
      <w:r w:rsidR="002B47CD">
        <w:t xml:space="preserve">before the seminar begins </w:t>
      </w:r>
      <w:r>
        <w:t xml:space="preserve">to read </w:t>
      </w:r>
      <w:r w:rsidRPr="007366D7">
        <w:rPr>
          <w:i/>
        </w:rPr>
        <w:t>Gone With the Wind</w:t>
      </w:r>
      <w:r w:rsidR="007346E0">
        <w:t xml:space="preserve">, </w:t>
      </w:r>
      <w:r w:rsidR="007346E0" w:rsidRPr="007346E0">
        <w:rPr>
          <w:i/>
        </w:rPr>
        <w:t>To Kill a Mockingbird</w:t>
      </w:r>
      <w:r w:rsidR="007346E0">
        <w:t xml:space="preserve">, </w:t>
      </w:r>
      <w:r>
        <w:t xml:space="preserve">and </w:t>
      </w:r>
      <w:r w:rsidR="000B41AA">
        <w:t>several</w:t>
      </w:r>
      <w:r w:rsidR="002B47CD">
        <w:t xml:space="preserve"> </w:t>
      </w:r>
      <w:r w:rsidR="00375C5E">
        <w:t xml:space="preserve">other </w:t>
      </w:r>
      <w:r w:rsidR="002B47CD">
        <w:t xml:space="preserve">texts </w:t>
      </w:r>
      <w:r w:rsidR="000460C1">
        <w:t>from the syllabus of their own choosing</w:t>
      </w:r>
      <w:r w:rsidR="007346E0">
        <w:t xml:space="preserve"> (see more info below)</w:t>
      </w:r>
      <w:r>
        <w:t xml:space="preserve">.  </w:t>
      </w:r>
      <w:r w:rsidR="00926B92">
        <w:t>Students will give 3 seminar presentations over the course of the se</w:t>
      </w:r>
      <w:r w:rsidR="007346E0">
        <w:t>mester on topics from weeks 1-13</w:t>
      </w:r>
      <w:r w:rsidR="00F87F39">
        <w:t>; with the assistance of Prof. Schmidt they will also lead the ensuing seminar discussion</w:t>
      </w:r>
      <w:r w:rsidR="00375C5E">
        <w:t>s</w:t>
      </w:r>
      <w:r w:rsidR="00F87F39">
        <w:t xml:space="preserve"> on your </w:t>
      </w:r>
      <w:r w:rsidR="002B47CD">
        <w:t>presentation’s topics</w:t>
      </w:r>
      <w:r w:rsidR="000664C2">
        <w:t xml:space="preserve"> and the work(s) assigned for that week</w:t>
      </w:r>
      <w:r w:rsidR="00F87F39">
        <w:t>.</w:t>
      </w:r>
      <w:r w:rsidR="000B41AA">
        <w:t xml:space="preserve">  </w:t>
      </w:r>
      <w:r w:rsidR="000664C2">
        <w:t>Students</w:t>
      </w:r>
      <w:r w:rsidR="000B41AA">
        <w:t xml:space="preserve"> will also complete a final project of their own devising, in consultation with Prof. Schmidt.  For Honors students</w:t>
      </w:r>
      <w:r w:rsidR="000664C2">
        <w:t>,</w:t>
      </w:r>
      <w:r w:rsidR="000B41AA">
        <w:t xml:space="preserve"> this final project will be a draft of </w:t>
      </w:r>
      <w:r w:rsidR="000664C2">
        <w:t>your</w:t>
      </w:r>
      <w:r w:rsidR="000B41AA">
        <w:t xml:space="preserve"> Senior Honors Essay for this seminar.</w:t>
      </w:r>
    </w:p>
    <w:p w14:paraId="15F500E3" w14:textId="044BCBC6" w:rsidR="007366D7" w:rsidRDefault="007366D7"/>
    <w:p w14:paraId="4C459D01" w14:textId="27162836" w:rsidR="00D37158" w:rsidRPr="00776752" w:rsidRDefault="00776752" w:rsidP="00776752">
      <w:pPr>
        <w:rPr>
          <w:rFonts w:ascii="Cambria" w:hAnsi="Cambria"/>
        </w:rPr>
      </w:pPr>
      <w:r w:rsidRPr="00AD6F52">
        <w:rPr>
          <w:rFonts w:ascii="Cambria" w:hAnsi="Cambria"/>
          <w:b/>
        </w:rPr>
        <w:t>Note</w:t>
      </w:r>
      <w:r w:rsidRPr="00776752">
        <w:rPr>
          <w:rFonts w:ascii="Cambria" w:hAnsi="Cambria"/>
        </w:rPr>
        <w:t xml:space="preserve">:  </w:t>
      </w:r>
      <w:r w:rsidRPr="00776752">
        <w:rPr>
          <w:rFonts w:ascii="Cambria" w:hAnsi="Cambria"/>
          <w:u w:val="single"/>
        </w:rPr>
        <w:t>for Fall 2016 this course</w:t>
      </w:r>
      <w:r>
        <w:rPr>
          <w:rFonts w:ascii="Cambria" w:hAnsi="Cambria"/>
          <w:u w:val="single"/>
        </w:rPr>
        <w:t xml:space="preserve"> may be taken by English majors to count towards your 18th/19</w:t>
      </w:r>
      <w:r w:rsidRPr="00776752">
        <w:rPr>
          <w:rFonts w:ascii="Cambria" w:hAnsi="Cambria"/>
          <w:u w:val="single"/>
          <w:vertAlign w:val="superscript"/>
        </w:rPr>
        <w:t>th</w:t>
      </w:r>
      <w:r>
        <w:rPr>
          <w:rFonts w:ascii="Cambria" w:hAnsi="Cambria"/>
          <w:u w:val="single"/>
        </w:rPr>
        <w:t xml:space="preserve">-century </w:t>
      </w:r>
      <w:r w:rsidRPr="00776752">
        <w:rPr>
          <w:rFonts w:ascii="Cambria" w:hAnsi="Cambria"/>
          <w:u w:val="single"/>
        </w:rPr>
        <w:t xml:space="preserve">credit </w:t>
      </w:r>
      <w:r>
        <w:rPr>
          <w:rFonts w:ascii="Cambria" w:hAnsi="Cambria"/>
          <w:u w:val="single"/>
        </w:rPr>
        <w:t>requirement</w:t>
      </w:r>
      <w:r w:rsidRPr="00776752">
        <w:rPr>
          <w:rFonts w:ascii="Cambria" w:hAnsi="Cambria"/>
        </w:rPr>
        <w:t>.  To earn such a credit, some of your seminar presentations and your final seminar project must focus on 18</w:t>
      </w:r>
      <w:r w:rsidRPr="00776752">
        <w:rPr>
          <w:rFonts w:ascii="Cambria" w:hAnsi="Cambria"/>
          <w:vertAlign w:val="superscript"/>
        </w:rPr>
        <w:t>th</w:t>
      </w:r>
      <w:r w:rsidRPr="00776752">
        <w:rPr>
          <w:rFonts w:ascii="Cambria" w:hAnsi="Cambria"/>
        </w:rPr>
        <w:t xml:space="preserve"> or 19</w:t>
      </w:r>
      <w:r w:rsidRPr="00776752">
        <w:rPr>
          <w:rFonts w:ascii="Cambria" w:hAnsi="Cambria"/>
          <w:vertAlign w:val="superscript"/>
        </w:rPr>
        <w:t>th</w:t>
      </w:r>
      <w:r w:rsidRPr="00776752">
        <w:rPr>
          <w:rFonts w:ascii="Cambria" w:hAnsi="Cambria"/>
        </w:rPr>
        <w:t xml:space="preserve"> century authors and their historical context.  See Prof. Schmidt for more details </w:t>
      </w:r>
      <w:r>
        <w:rPr>
          <w:rFonts w:ascii="Cambria" w:hAnsi="Cambria"/>
        </w:rPr>
        <w:t>early in the semester to discuss the details of earning such an 18</w:t>
      </w:r>
      <w:r w:rsidRPr="0077675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/19</w:t>
      </w:r>
      <w:r w:rsidRPr="0077675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century credit towards your major</w:t>
      </w:r>
      <w:r w:rsidRPr="00776752">
        <w:rPr>
          <w:rFonts w:ascii="Cambria" w:hAnsi="Cambria"/>
        </w:rPr>
        <w:t>.</w:t>
      </w:r>
      <w:r>
        <w:rPr>
          <w:rFonts w:ascii="Cambria" w:hAnsi="Cambria"/>
        </w:rPr>
        <w:t xml:space="preserve">  Alternatively, English 116 can count for a major as a 20</w:t>
      </w:r>
      <w:r w:rsidRPr="0077675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-21</w:t>
      </w:r>
      <w:r w:rsidRPr="00776752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century credit, as desired.  (This seminar, however, cannot be “double-counted” as both 18</w:t>
      </w:r>
      <w:r w:rsidRPr="0077675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/19</w:t>
      </w:r>
      <w:r w:rsidRPr="0077675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and 20</w:t>
      </w:r>
      <w:r w:rsidRPr="0077675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/21</w:t>
      </w:r>
      <w:r w:rsidRPr="00776752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for the purposes of the English major distribution requirements.)</w:t>
      </w:r>
    </w:p>
    <w:p w14:paraId="344B32E6" w14:textId="77777777" w:rsidR="00776752" w:rsidRDefault="00776752"/>
    <w:p w14:paraId="11B8ACC8" w14:textId="2E7901A7" w:rsidR="003F73E4" w:rsidRDefault="002E72AD">
      <w:r>
        <w:t xml:space="preserve">Aside from the books available in the Swarthmore College bookstore, the other course materials will (usually) be free pdfs or </w:t>
      </w:r>
      <w:r w:rsidR="000664C2">
        <w:t>other kinds of</w:t>
      </w:r>
      <w:r>
        <w:t xml:space="preserve"> files </w:t>
      </w:r>
      <w:r w:rsidR="000664C2">
        <w:t xml:space="preserve">or links </w:t>
      </w:r>
      <w:r>
        <w:t xml:space="preserve">posted on the English 116 Moodle website.  </w:t>
      </w:r>
      <w:r w:rsidRPr="002E72AD">
        <w:rPr>
          <w:i/>
        </w:rPr>
        <w:t>Please download all these materials as needed and create a folder on your computer for storing them</w:t>
      </w:r>
      <w:r>
        <w:t xml:space="preserve">.  If you prefer, you may print out these texts ahead of time to read them in print form—but be sure to allow plenty of time to do this.  </w:t>
      </w:r>
      <w:r w:rsidRPr="002E72AD">
        <w:rPr>
          <w:i/>
        </w:rPr>
        <w:t>Other course materials will be available as indicated in McCabe Library, the English 116 Honors shelves</w:t>
      </w:r>
      <w:r>
        <w:t xml:space="preserve"> (Level 2</w:t>
      </w:r>
      <w:r w:rsidR="008B6B4B">
        <w:t>, the Library’s floor with the Circulation desk</w:t>
      </w:r>
      <w:r>
        <w:t>)</w:t>
      </w:r>
      <w:r w:rsidR="008B6B4B">
        <w:t xml:space="preserve"> or other locations in McCabe</w:t>
      </w:r>
      <w:r>
        <w:t>.</w:t>
      </w:r>
    </w:p>
    <w:p w14:paraId="3D199F5D" w14:textId="14BDDD27" w:rsidR="001304FE" w:rsidRDefault="001304FE" w:rsidP="00FC398A">
      <w:pPr>
        <w:ind w:firstLine="720"/>
      </w:pPr>
      <w:r>
        <w:t xml:space="preserve">If you prefer, you may use e-book versions of </w:t>
      </w:r>
      <w:r w:rsidR="008B6B4B">
        <w:t xml:space="preserve">some of </w:t>
      </w:r>
      <w:r>
        <w:t>these assigned texts</w:t>
      </w:r>
      <w:r w:rsidR="008B6B4B">
        <w:t xml:space="preserve">, </w:t>
      </w:r>
      <w:r w:rsidR="00375C5E">
        <w:t>if</w:t>
      </w:r>
      <w:r w:rsidR="008B6B4B">
        <w:t xml:space="preserve"> available</w:t>
      </w:r>
      <w:r>
        <w:t>.</w:t>
      </w:r>
    </w:p>
    <w:p w14:paraId="3A6A95BD" w14:textId="77777777" w:rsidR="00DB2844" w:rsidRDefault="00DB2844"/>
    <w:p w14:paraId="3D681E55" w14:textId="59A6C969" w:rsidR="00F23C8D" w:rsidRDefault="00FC398A">
      <w:r>
        <w:rPr>
          <w:b/>
        </w:rPr>
        <w:t>Weekly s</w:t>
      </w:r>
      <w:r w:rsidR="00DB2844" w:rsidRPr="00DB2844">
        <w:rPr>
          <w:b/>
        </w:rPr>
        <w:t>eminar work assignments</w:t>
      </w:r>
      <w:r w:rsidR="000F0FD6">
        <w:t xml:space="preserve"> are of several kinds.  All work should be your own and done expressly for this seminar.</w:t>
      </w:r>
      <w:r w:rsidR="00DB2844">
        <w:t xml:space="preserve"> </w:t>
      </w:r>
    </w:p>
    <w:p w14:paraId="1ABB227F" w14:textId="0E291C25" w:rsidR="00442A81" w:rsidRDefault="00DB2844" w:rsidP="00442A81">
      <w:pPr>
        <w:pStyle w:val="ListParagraph"/>
        <w:numPr>
          <w:ilvl w:val="0"/>
          <w:numId w:val="2"/>
        </w:numPr>
      </w:pPr>
      <w:r>
        <w:t xml:space="preserve">3 blog posts on our English 116 blog, giving us a preview of ideas, questions, and passages to discuss in the assigned reading that will be central to your seminar leadership of discussion.  </w:t>
      </w:r>
      <w:r w:rsidRPr="000664C2">
        <w:rPr>
          <w:highlight w:val="yellow"/>
          <w:u w:val="single"/>
        </w:rPr>
        <w:t xml:space="preserve">Each blog entry must be posted by 8pm on </w:t>
      </w:r>
      <w:r w:rsidR="000664C2" w:rsidRPr="000664C2">
        <w:rPr>
          <w:highlight w:val="yellow"/>
          <w:u w:val="single"/>
        </w:rPr>
        <w:t>Sunday</w:t>
      </w:r>
      <w:r w:rsidRPr="000664C2">
        <w:rPr>
          <w:highlight w:val="yellow"/>
          <w:u w:val="single"/>
        </w:rPr>
        <w:t xml:space="preserve"> the night before our </w:t>
      </w:r>
      <w:r w:rsidR="000664C2" w:rsidRPr="000664C2">
        <w:rPr>
          <w:highlight w:val="yellow"/>
          <w:u w:val="single"/>
        </w:rPr>
        <w:t>Monday</w:t>
      </w:r>
      <w:r w:rsidRPr="000664C2">
        <w:rPr>
          <w:highlight w:val="yellow"/>
          <w:u w:val="single"/>
        </w:rPr>
        <w:t xml:space="preserve"> seminar</w:t>
      </w:r>
      <w:r w:rsidRPr="000664C2">
        <w:rPr>
          <w:highlight w:val="yellow"/>
        </w:rPr>
        <w:t>.  Other seminar members should read the posts as they prepare for seminar.</w:t>
      </w:r>
      <w:r>
        <w:t xml:space="preserve">  For more detailed guidelines on blog posts and leading seminar discussion, see </w:t>
      </w:r>
      <w:r w:rsidR="00F23C8D">
        <w:t>the Guidelines for Posts and Discussion document on the 116 Moodle site.</w:t>
      </w:r>
    </w:p>
    <w:p w14:paraId="6E090D3E" w14:textId="03E314EF" w:rsidR="00442A81" w:rsidRDefault="00F23C8D" w:rsidP="00442A81">
      <w:pPr>
        <w:pStyle w:val="ListParagraph"/>
        <w:numPr>
          <w:ilvl w:val="0"/>
          <w:numId w:val="2"/>
        </w:numPr>
      </w:pPr>
      <w:r>
        <w:t xml:space="preserve">Each student will complete a 10-20pp. research </w:t>
      </w:r>
      <w:r w:rsidR="000F0FD6">
        <w:t xml:space="preserve">paper </w:t>
      </w:r>
      <w:r w:rsidR="00442A81">
        <w:t xml:space="preserve">(or other suitable final project) </w:t>
      </w:r>
      <w:r w:rsidR="000F0FD6">
        <w:t xml:space="preserve">on a topic of your choice.  This </w:t>
      </w:r>
      <w:r w:rsidR="00442A81">
        <w:t>project</w:t>
      </w:r>
      <w:r w:rsidR="000F0FD6">
        <w:t xml:space="preserve"> is due either before you leave campus in December or </w:t>
      </w:r>
      <w:r w:rsidR="000F0FD6" w:rsidRPr="00442A81">
        <w:rPr>
          <w:u w:val="single"/>
        </w:rPr>
        <w:t xml:space="preserve">by </w:t>
      </w:r>
      <w:r w:rsidR="000664C2">
        <w:rPr>
          <w:u w:val="single"/>
        </w:rPr>
        <w:t>Friday</w:t>
      </w:r>
      <w:r w:rsidR="000F0FD6" w:rsidRPr="00442A81">
        <w:rPr>
          <w:u w:val="single"/>
        </w:rPr>
        <w:t>, January 1</w:t>
      </w:r>
      <w:r w:rsidR="000664C2">
        <w:rPr>
          <w:u w:val="single"/>
        </w:rPr>
        <w:t>3</w:t>
      </w:r>
      <w:r w:rsidR="000F0FD6" w:rsidRPr="00442A81">
        <w:rPr>
          <w:u w:val="single"/>
          <w:vertAlign w:val="superscript"/>
        </w:rPr>
        <w:t>th</w:t>
      </w:r>
      <w:r w:rsidR="000F0FD6">
        <w:t xml:space="preserve">.  </w:t>
      </w:r>
      <w:r w:rsidR="007346E0">
        <w:t xml:space="preserve"> </w:t>
      </w:r>
      <w:r w:rsidR="000F0FD6">
        <w:t>See instructions</w:t>
      </w:r>
      <w:r w:rsidR="007346E0">
        <w:t xml:space="preserve"> and topic suggestions at the end of the </w:t>
      </w:r>
      <w:r w:rsidR="000664C2">
        <w:t xml:space="preserve">detailed </w:t>
      </w:r>
      <w:r w:rsidR="007346E0">
        <w:t>syllabus</w:t>
      </w:r>
      <w:r w:rsidR="000F0FD6">
        <w:t>.</w:t>
      </w:r>
      <w:r w:rsidR="00442A81">
        <w:t xml:space="preserve">  For Honors students this final project will be a draft of their Senior Honors Essay for this seminar.</w:t>
      </w:r>
    </w:p>
    <w:p w14:paraId="423215A5" w14:textId="2A816ADB" w:rsidR="00F23C8D" w:rsidRDefault="00F23C8D" w:rsidP="00F23C8D">
      <w:pPr>
        <w:pStyle w:val="ListParagraph"/>
        <w:numPr>
          <w:ilvl w:val="0"/>
          <w:numId w:val="2"/>
        </w:numPr>
      </w:pPr>
      <w:r>
        <w:t>For students taking English 116 as part of their Honors program will also take a one-hour “practice” Honors exam and receive feedback.  More info on t</w:t>
      </w:r>
      <w:r w:rsidR="007346E0">
        <w:t>his later in the semester</w:t>
      </w:r>
      <w:r>
        <w:t>.</w:t>
      </w:r>
    </w:p>
    <w:p w14:paraId="2A8B1278" w14:textId="77777777" w:rsidR="00F23C8D" w:rsidRDefault="00F23C8D"/>
    <w:p w14:paraId="2ED6A574" w14:textId="3A81074E" w:rsidR="00972AD9" w:rsidRDefault="006E0844" w:rsidP="00C93752">
      <w:pPr>
        <w:rPr>
          <w:b/>
        </w:rPr>
      </w:pPr>
      <w:r>
        <w:rPr>
          <w:b/>
        </w:rPr>
        <w:t xml:space="preserve">REQUIRED </w:t>
      </w:r>
      <w:r w:rsidR="00F149C8">
        <w:rPr>
          <w:b/>
        </w:rPr>
        <w:t xml:space="preserve">AND OPTIONAL </w:t>
      </w:r>
      <w:r w:rsidR="005B2111">
        <w:rPr>
          <w:b/>
        </w:rPr>
        <w:t>VIEWING/</w:t>
      </w:r>
      <w:r>
        <w:rPr>
          <w:b/>
        </w:rPr>
        <w:t>READING</w:t>
      </w:r>
      <w:r w:rsidR="004E08B8">
        <w:rPr>
          <w:b/>
        </w:rPr>
        <w:t xml:space="preserve"> </w:t>
      </w:r>
      <w:r w:rsidR="00551E51">
        <w:rPr>
          <w:b/>
        </w:rPr>
        <w:t xml:space="preserve">(or re-reading) </w:t>
      </w:r>
      <w:r w:rsidR="004E08B8">
        <w:rPr>
          <w:b/>
        </w:rPr>
        <w:t>SUMMER 2016</w:t>
      </w:r>
      <w:r w:rsidR="00972AD9">
        <w:rPr>
          <w:b/>
        </w:rPr>
        <w:t>:</w:t>
      </w:r>
      <w:r w:rsidR="00E2119B">
        <w:rPr>
          <w:b/>
        </w:rPr>
        <w:t xml:space="preserve">  AT LEAST 5</w:t>
      </w:r>
      <w:r w:rsidR="00551E51">
        <w:rPr>
          <w:b/>
        </w:rPr>
        <w:t xml:space="preserve"> BOOKS FROM THE SEMINAR’S SYLLABUS</w:t>
      </w:r>
      <w:r w:rsidR="00E2119B">
        <w:rPr>
          <w:b/>
        </w:rPr>
        <w:t>, plus</w:t>
      </w:r>
      <w:r w:rsidR="00551E51">
        <w:rPr>
          <w:b/>
        </w:rPr>
        <w:t>:</w:t>
      </w:r>
    </w:p>
    <w:p w14:paraId="47CD06B0" w14:textId="473EB48D" w:rsidR="00E2119B" w:rsidRDefault="00551E51" w:rsidP="00E2119B">
      <w:pPr>
        <w:ind w:left="720" w:hanging="360"/>
        <w:rPr>
          <w:b/>
        </w:rPr>
      </w:pPr>
      <w:r>
        <w:rPr>
          <w:b/>
          <w:i/>
        </w:rPr>
        <w:t xml:space="preserve">• </w:t>
      </w:r>
      <w:r w:rsidR="00E2119B" w:rsidRPr="00BD4B9E">
        <w:rPr>
          <w:b/>
        </w:rPr>
        <w:t xml:space="preserve"> </w:t>
      </w:r>
      <w:r w:rsidR="00E2119B">
        <w:rPr>
          <w:b/>
        </w:rPr>
        <w:tab/>
        <w:t xml:space="preserve">Beyoncé, </w:t>
      </w:r>
      <w:r w:rsidR="00E2119B" w:rsidRPr="00C80536">
        <w:rPr>
          <w:b/>
          <w:i/>
        </w:rPr>
        <w:t>Formation</w:t>
      </w:r>
      <w:r w:rsidR="00E2119B">
        <w:rPr>
          <w:b/>
        </w:rPr>
        <w:t xml:space="preserve"> video: </w:t>
      </w:r>
      <w:hyperlink r:id="rId8" w:history="1">
        <w:r w:rsidR="00E2119B" w:rsidRPr="00413FB3">
          <w:rPr>
            <w:rStyle w:val="Hyperlink"/>
            <w:b/>
          </w:rPr>
          <w:t>http://www.beyonce.com/formation/#</w:t>
        </w:r>
      </w:hyperlink>
      <w:r w:rsidR="00E2119B">
        <w:rPr>
          <w:b/>
        </w:rPr>
        <w:t xml:space="preserve"> and </w:t>
      </w:r>
      <w:r w:rsidR="00E2119B" w:rsidRPr="000664C2">
        <w:rPr>
          <w:b/>
          <w:highlight w:val="yellow"/>
        </w:rPr>
        <w:t xml:space="preserve">see </w:t>
      </w:r>
      <w:r w:rsidR="005B2111" w:rsidRPr="000664C2">
        <w:rPr>
          <w:b/>
          <w:highlight w:val="yellow"/>
        </w:rPr>
        <w:t xml:space="preserve">also </w:t>
      </w:r>
      <w:r w:rsidR="00E2119B" w:rsidRPr="000664C2">
        <w:rPr>
          <w:b/>
          <w:highlight w:val="yellow"/>
        </w:rPr>
        <w:t>the lyrics and commentary on Genius.com</w:t>
      </w:r>
      <w:r w:rsidR="00E2119B">
        <w:rPr>
          <w:b/>
        </w:rPr>
        <w:t xml:space="preserve">: </w:t>
      </w:r>
      <w:hyperlink r:id="rId9" w:history="1">
        <w:r w:rsidR="00E2119B" w:rsidRPr="00413FB3">
          <w:rPr>
            <w:rStyle w:val="Hyperlink"/>
            <w:b/>
          </w:rPr>
          <w:t>http://genius.com/Beyonce-formation-lyrics</w:t>
        </w:r>
      </w:hyperlink>
      <w:r w:rsidR="00E2119B">
        <w:rPr>
          <w:b/>
        </w:rPr>
        <w:t xml:space="preserve"> </w:t>
      </w:r>
      <w:r w:rsidR="005B2111">
        <w:rPr>
          <w:b/>
        </w:rPr>
        <w:t xml:space="preserve">.  </w:t>
      </w:r>
      <w:r w:rsidR="00E2119B">
        <w:rPr>
          <w:b/>
        </w:rPr>
        <w:t xml:space="preserve">Beyoncé’s </w:t>
      </w:r>
      <w:r w:rsidR="005B2111">
        <w:rPr>
          <w:b/>
        </w:rPr>
        <w:t xml:space="preserve">hour-long </w:t>
      </w:r>
      <w:r w:rsidR="00E2119B" w:rsidRPr="005A0E7B">
        <w:rPr>
          <w:b/>
          <w:i/>
        </w:rPr>
        <w:t>Lemonade</w:t>
      </w:r>
      <w:r w:rsidR="00E2119B">
        <w:rPr>
          <w:b/>
        </w:rPr>
        <w:t xml:space="preserve"> should also be available this fall, as a 2-CD set (music + video) in Underhill Library.  For more info and discussions/debates regarding both these works, explore online.</w:t>
      </w:r>
    </w:p>
    <w:p w14:paraId="7B962AF4" w14:textId="12B51400" w:rsidR="00972AD9" w:rsidRPr="004E08B8" w:rsidRDefault="00E2119B" w:rsidP="00551E51">
      <w:pPr>
        <w:ind w:left="720" w:hanging="180"/>
        <w:rPr>
          <w:b/>
          <w:i/>
        </w:rPr>
      </w:pPr>
      <w:r>
        <w:rPr>
          <w:b/>
          <w:i/>
        </w:rPr>
        <w:t xml:space="preserve">• </w:t>
      </w:r>
      <w:r w:rsidR="00972AD9" w:rsidRPr="004E08B8">
        <w:rPr>
          <w:b/>
          <w:i/>
        </w:rPr>
        <w:t>GONE WITH THE WIND</w:t>
      </w:r>
    </w:p>
    <w:p w14:paraId="12CB01FA" w14:textId="3A810497" w:rsidR="00972AD9" w:rsidRDefault="00551E51" w:rsidP="00551E51">
      <w:pPr>
        <w:ind w:left="720" w:hanging="180"/>
        <w:rPr>
          <w:b/>
          <w:i/>
        </w:rPr>
      </w:pPr>
      <w:r>
        <w:rPr>
          <w:b/>
          <w:i/>
        </w:rPr>
        <w:t xml:space="preserve">• </w:t>
      </w:r>
      <w:r w:rsidR="00972AD9" w:rsidRPr="004E08B8">
        <w:rPr>
          <w:b/>
          <w:i/>
        </w:rPr>
        <w:t>TO KILL A MOCKINGBIRD</w:t>
      </w:r>
    </w:p>
    <w:p w14:paraId="2B70FEAF" w14:textId="0299F9F0" w:rsidR="00551E51" w:rsidRDefault="00551E51" w:rsidP="00551E51">
      <w:pPr>
        <w:ind w:left="720" w:hanging="180"/>
        <w:rPr>
          <w:b/>
        </w:rPr>
      </w:pPr>
      <w:r>
        <w:rPr>
          <w:b/>
        </w:rPr>
        <w:t xml:space="preserve">• </w:t>
      </w:r>
      <w:r w:rsidRPr="00551E51">
        <w:rPr>
          <w:b/>
        </w:rPr>
        <w:t xml:space="preserve">Jean Toomer’s CANE or Zora Neale Hurston’s </w:t>
      </w:r>
      <w:r>
        <w:rPr>
          <w:b/>
        </w:rPr>
        <w:t>THEIR EYES WERE WATCHING GOD</w:t>
      </w:r>
      <w:r w:rsidRPr="00551E51">
        <w:rPr>
          <w:b/>
        </w:rPr>
        <w:t xml:space="preserve"> (both will be discussed in the same week)</w:t>
      </w:r>
    </w:p>
    <w:p w14:paraId="0A3C0BB6" w14:textId="681620EF" w:rsidR="00551E51" w:rsidRDefault="00551E51" w:rsidP="00551E51">
      <w:pPr>
        <w:ind w:left="720" w:hanging="180"/>
        <w:rPr>
          <w:b/>
        </w:rPr>
      </w:pPr>
      <w:r>
        <w:rPr>
          <w:b/>
        </w:rPr>
        <w:t xml:space="preserve">• Octavia Butler’s KINDRED or Toni Morrison’s A MERCY </w:t>
      </w:r>
      <w:r w:rsidRPr="00551E51">
        <w:rPr>
          <w:b/>
        </w:rPr>
        <w:t>(both will be discussed in the same week)</w:t>
      </w:r>
    </w:p>
    <w:p w14:paraId="6035E4E2" w14:textId="72604CA7" w:rsidR="00F5167B" w:rsidRPr="00551E51" w:rsidRDefault="00F5167B" w:rsidP="00551E51">
      <w:pPr>
        <w:ind w:left="720" w:hanging="180"/>
        <w:rPr>
          <w:b/>
        </w:rPr>
      </w:pPr>
      <w:r>
        <w:rPr>
          <w:b/>
        </w:rPr>
        <w:t xml:space="preserve">• Eudora Welty’s </w:t>
      </w:r>
      <w:r w:rsidRPr="00F5167B">
        <w:rPr>
          <w:b/>
          <w:i/>
        </w:rPr>
        <w:t>The Optimist’s Daughter</w:t>
      </w:r>
      <w:r>
        <w:rPr>
          <w:b/>
        </w:rPr>
        <w:t xml:space="preserve"> or Ellen Douglas’s </w:t>
      </w:r>
      <w:r w:rsidRPr="00F5167B">
        <w:rPr>
          <w:b/>
          <w:i/>
        </w:rPr>
        <w:t>Can’t Quit You Baby</w:t>
      </w:r>
      <w:r>
        <w:rPr>
          <w:b/>
        </w:rPr>
        <w:t xml:space="preserve"> (both assigned same week)</w:t>
      </w:r>
    </w:p>
    <w:p w14:paraId="2FE0EFF5" w14:textId="77777777" w:rsidR="00972AD9" w:rsidRDefault="00972AD9" w:rsidP="004461CD">
      <w:pPr>
        <w:ind w:left="360" w:hanging="360"/>
        <w:rPr>
          <w:b/>
        </w:rPr>
      </w:pPr>
    </w:p>
    <w:p w14:paraId="6BA2403B" w14:textId="77777777" w:rsidR="00F149C8" w:rsidRDefault="00F149C8" w:rsidP="004461CD">
      <w:pPr>
        <w:ind w:left="360" w:hanging="360"/>
        <w:rPr>
          <w:b/>
        </w:rPr>
      </w:pPr>
    </w:p>
    <w:p w14:paraId="4EFC59E4" w14:textId="2F5E6F15" w:rsidR="00972AD9" w:rsidRDefault="00972AD9" w:rsidP="004461CD">
      <w:pPr>
        <w:ind w:left="360" w:hanging="360"/>
        <w:rPr>
          <w:b/>
        </w:rPr>
      </w:pPr>
      <w:r>
        <w:rPr>
          <w:b/>
        </w:rPr>
        <w:t xml:space="preserve">SOUTHERN CULTURAL STUDIES THEORY </w:t>
      </w:r>
      <w:r w:rsidR="000A0D0C">
        <w:rPr>
          <w:b/>
        </w:rPr>
        <w:t xml:space="preserve">we’ll study </w:t>
      </w:r>
      <w:r w:rsidR="00F3033D">
        <w:rPr>
          <w:b/>
        </w:rPr>
        <w:t xml:space="preserve">over the course of the semester </w:t>
      </w:r>
      <w:r w:rsidR="000A0D0C">
        <w:rPr>
          <w:b/>
        </w:rPr>
        <w:t>(not a complete list)</w:t>
      </w:r>
      <w:r>
        <w:rPr>
          <w:b/>
        </w:rPr>
        <w:t>:</w:t>
      </w:r>
    </w:p>
    <w:p w14:paraId="6E89A775" w14:textId="77777777" w:rsidR="00FC398A" w:rsidRDefault="00FC398A" w:rsidP="004461CD">
      <w:pPr>
        <w:ind w:left="360" w:hanging="360"/>
        <w:rPr>
          <w:b/>
        </w:rPr>
      </w:pPr>
    </w:p>
    <w:p w14:paraId="6003A1DC" w14:textId="57F93D65" w:rsidR="00972AD9" w:rsidRDefault="00972AD9" w:rsidP="006E0844">
      <w:pPr>
        <w:ind w:left="720" w:hanging="360"/>
        <w:rPr>
          <w:b/>
        </w:rPr>
      </w:pPr>
      <w:r>
        <w:rPr>
          <w:b/>
        </w:rPr>
        <w:t>C. Vann Woodward, “The Burden of Southern History”</w:t>
      </w:r>
    </w:p>
    <w:p w14:paraId="787FF5BF" w14:textId="343BA9FF" w:rsidR="00972AD9" w:rsidRDefault="00972AD9" w:rsidP="006E0844">
      <w:pPr>
        <w:ind w:left="720" w:hanging="360"/>
        <w:rPr>
          <w:b/>
        </w:rPr>
      </w:pPr>
      <w:r>
        <w:rPr>
          <w:b/>
        </w:rPr>
        <w:t xml:space="preserve">Jennifer Rae Greeson, </w:t>
      </w:r>
      <w:r w:rsidRPr="00972AD9">
        <w:rPr>
          <w:b/>
          <w:i/>
        </w:rPr>
        <w:t>Our South: Geographical Fantasy and the Rise of National Literature</w:t>
      </w:r>
      <w:r>
        <w:rPr>
          <w:b/>
        </w:rPr>
        <w:t xml:space="preserve"> (excerpts)</w:t>
      </w:r>
    </w:p>
    <w:p w14:paraId="53A91E8A" w14:textId="48CB6C59" w:rsidR="00972AD9" w:rsidRDefault="00972AD9" w:rsidP="006E0844">
      <w:pPr>
        <w:ind w:left="720" w:hanging="360"/>
        <w:rPr>
          <w:b/>
        </w:rPr>
      </w:pPr>
      <w:r w:rsidRPr="00972AD9">
        <w:rPr>
          <w:b/>
          <w:i/>
        </w:rPr>
        <w:t>Undead Souths: The Gothic and Beyond</w:t>
      </w:r>
      <w:r w:rsidR="004820B9">
        <w:rPr>
          <w:b/>
          <w:i/>
        </w:rPr>
        <w:t xml:space="preserve"> in Southern Literature and Culture</w:t>
      </w:r>
      <w:r>
        <w:rPr>
          <w:b/>
        </w:rPr>
        <w:t xml:space="preserve"> (</w:t>
      </w:r>
      <w:r w:rsidR="004820B9">
        <w:rPr>
          <w:b/>
        </w:rPr>
        <w:t xml:space="preserve">“Introduction” from this new </w:t>
      </w:r>
      <w:r w:rsidR="00CB0B31">
        <w:rPr>
          <w:b/>
        </w:rPr>
        <w:t xml:space="preserve">anthology </w:t>
      </w:r>
      <w:r w:rsidR="00551E51">
        <w:rPr>
          <w:b/>
        </w:rPr>
        <w:t>of essays edited by Eric Gary Anderson et al</w:t>
      </w:r>
      <w:r>
        <w:rPr>
          <w:b/>
        </w:rPr>
        <w:t>)</w:t>
      </w:r>
    </w:p>
    <w:p w14:paraId="5DF11446" w14:textId="69B32A01" w:rsidR="00972AD9" w:rsidRDefault="00972AD9" w:rsidP="006E0844">
      <w:pPr>
        <w:ind w:left="720" w:hanging="360"/>
        <w:rPr>
          <w:b/>
        </w:rPr>
      </w:pPr>
      <w:r>
        <w:rPr>
          <w:b/>
        </w:rPr>
        <w:t xml:space="preserve">Kevin Young, </w:t>
      </w:r>
      <w:r w:rsidRPr="00972AD9">
        <w:rPr>
          <w:b/>
          <w:i/>
        </w:rPr>
        <w:t>The Grey Album: On the Blackness of Blackness</w:t>
      </w:r>
      <w:r>
        <w:rPr>
          <w:b/>
        </w:rPr>
        <w:t xml:space="preserve"> (excerpts)</w:t>
      </w:r>
    </w:p>
    <w:p w14:paraId="295DDDC0" w14:textId="4879D0A4" w:rsidR="00972AD9" w:rsidRDefault="00972AD9" w:rsidP="006E0844">
      <w:pPr>
        <w:ind w:left="720" w:hanging="360"/>
        <w:rPr>
          <w:b/>
        </w:rPr>
      </w:pPr>
      <w:r>
        <w:rPr>
          <w:b/>
        </w:rPr>
        <w:t xml:space="preserve">Keith Cartwright, </w:t>
      </w:r>
      <w:r w:rsidR="00451F4D" w:rsidRPr="00451F4D">
        <w:rPr>
          <w:b/>
          <w:i/>
        </w:rPr>
        <w:t xml:space="preserve">Sacral Grooves, Limbo Gateways: Travels in Deep Southern time, Circum-Caribbean Space, Afro-Creole Authority </w:t>
      </w:r>
      <w:r w:rsidR="00451F4D" w:rsidRPr="00451F4D">
        <w:rPr>
          <w:b/>
        </w:rPr>
        <w:t>(excerpts)</w:t>
      </w:r>
    </w:p>
    <w:p w14:paraId="1B890A39" w14:textId="73FA75A9" w:rsidR="00CB0B31" w:rsidRDefault="00CB0B31" w:rsidP="00CB0B31">
      <w:pPr>
        <w:ind w:left="720" w:hanging="360"/>
        <w:rPr>
          <w:b/>
          <w:i/>
        </w:rPr>
      </w:pPr>
      <w:r>
        <w:rPr>
          <w:b/>
        </w:rPr>
        <w:t xml:space="preserve">John Wharton Lowe, </w:t>
      </w:r>
      <w:r w:rsidRPr="00451F4D">
        <w:rPr>
          <w:b/>
          <w:i/>
        </w:rPr>
        <w:t>Calypso Magnolia</w:t>
      </w:r>
      <w:r>
        <w:rPr>
          <w:b/>
          <w:i/>
        </w:rPr>
        <w:t>: The Crosscurrents of Caribbean and Southern Literature</w:t>
      </w:r>
      <w:r w:rsidR="00551E51">
        <w:rPr>
          <w:b/>
          <w:i/>
        </w:rPr>
        <w:t xml:space="preserve"> </w:t>
      </w:r>
      <w:r w:rsidR="00551E51" w:rsidRPr="004820B9">
        <w:rPr>
          <w:b/>
        </w:rPr>
        <w:t>(introduction)</w:t>
      </w:r>
    </w:p>
    <w:p w14:paraId="75D09342" w14:textId="6E9884CD" w:rsidR="0078782D" w:rsidRDefault="0078782D" w:rsidP="0078782D">
      <w:pPr>
        <w:ind w:left="720" w:hanging="360"/>
        <w:rPr>
          <w:b/>
        </w:rPr>
      </w:pPr>
      <w:r>
        <w:rPr>
          <w:b/>
        </w:rPr>
        <w:t xml:space="preserve">Thadious </w:t>
      </w:r>
      <w:r w:rsidR="00CB0B31">
        <w:rPr>
          <w:b/>
        </w:rPr>
        <w:t xml:space="preserve">M. </w:t>
      </w:r>
      <w:r>
        <w:rPr>
          <w:b/>
        </w:rPr>
        <w:t xml:space="preserve">Davis, </w:t>
      </w:r>
      <w:r w:rsidRPr="00E41304">
        <w:rPr>
          <w:b/>
          <w:i/>
        </w:rPr>
        <w:t>Southscapes: Geographies of Race, Region, and Literature</w:t>
      </w:r>
      <w:r w:rsidR="00551E51">
        <w:rPr>
          <w:b/>
          <w:i/>
        </w:rPr>
        <w:t xml:space="preserve"> </w:t>
      </w:r>
      <w:r w:rsidR="00551E51" w:rsidRPr="004820B9">
        <w:rPr>
          <w:b/>
        </w:rPr>
        <w:t>(</w:t>
      </w:r>
      <w:r w:rsidR="004820B9">
        <w:rPr>
          <w:b/>
        </w:rPr>
        <w:t>excerpt</w:t>
      </w:r>
      <w:r w:rsidR="00730FAF">
        <w:rPr>
          <w:b/>
        </w:rPr>
        <w:t>s</w:t>
      </w:r>
      <w:r w:rsidR="004820B9">
        <w:rPr>
          <w:b/>
        </w:rPr>
        <w:t xml:space="preserve"> from chapter 1</w:t>
      </w:r>
      <w:r w:rsidR="00551E51" w:rsidRPr="004820B9">
        <w:rPr>
          <w:b/>
        </w:rPr>
        <w:t>)</w:t>
      </w:r>
    </w:p>
    <w:p w14:paraId="1AF265C5" w14:textId="6225E043" w:rsidR="00972AD9" w:rsidRDefault="00972AD9" w:rsidP="006E0844">
      <w:pPr>
        <w:ind w:left="720" w:hanging="360"/>
        <w:rPr>
          <w:b/>
        </w:rPr>
      </w:pPr>
      <w:r w:rsidRPr="00972AD9">
        <w:rPr>
          <w:b/>
        </w:rPr>
        <w:t xml:space="preserve">Grace Elizabeth Hale, </w:t>
      </w:r>
      <w:r w:rsidR="00551E51">
        <w:rPr>
          <w:b/>
        </w:rPr>
        <w:t xml:space="preserve">from </w:t>
      </w:r>
      <w:r w:rsidRPr="00972AD9">
        <w:rPr>
          <w:b/>
          <w:i/>
        </w:rPr>
        <w:t>Making Whiteness: The Culture of Segregation in the South, 1890-1940</w:t>
      </w:r>
      <w:r w:rsidR="00551E51">
        <w:rPr>
          <w:b/>
        </w:rPr>
        <w:t xml:space="preserve">: </w:t>
      </w:r>
      <w:r w:rsidRPr="00972AD9">
        <w:rPr>
          <w:b/>
        </w:rPr>
        <w:t>“The Genealogy of Lynchings as Modern Spectacle” (</w:t>
      </w:r>
      <w:r w:rsidR="00551E51">
        <w:rPr>
          <w:b/>
        </w:rPr>
        <w:t xml:space="preserve">pp. </w:t>
      </w:r>
      <w:r w:rsidRPr="00972AD9">
        <w:rPr>
          <w:b/>
        </w:rPr>
        <w:t>203-15, 227-39)</w:t>
      </w:r>
    </w:p>
    <w:p w14:paraId="161A7DBB" w14:textId="37ABE36D" w:rsidR="00972AD9" w:rsidRDefault="00972AD9" w:rsidP="006E0844">
      <w:pPr>
        <w:ind w:left="720" w:hanging="360"/>
        <w:rPr>
          <w:b/>
        </w:rPr>
      </w:pPr>
      <w:r>
        <w:rPr>
          <w:b/>
        </w:rPr>
        <w:t xml:space="preserve">Peter Schmidt, essays on Thomas Dixon; Faulkner’s “The Bear”; Mitchell’s </w:t>
      </w:r>
      <w:r w:rsidRPr="00972AD9">
        <w:rPr>
          <w:b/>
          <w:i/>
        </w:rPr>
        <w:t>Gone With the Wind</w:t>
      </w:r>
      <w:r>
        <w:rPr>
          <w:b/>
        </w:rPr>
        <w:t>,” etc.</w:t>
      </w:r>
    </w:p>
    <w:p w14:paraId="23480B26" w14:textId="2B9DAB6A" w:rsidR="000A0D0C" w:rsidRDefault="000A0D0C" w:rsidP="006E0844">
      <w:pPr>
        <w:ind w:left="720" w:hanging="360"/>
        <w:rPr>
          <w:b/>
          <w:i/>
        </w:rPr>
      </w:pPr>
      <w:r>
        <w:rPr>
          <w:b/>
        </w:rPr>
        <w:t>Eric Gary Anderson, “The Fall of the House of Po’ Sandy: Poe, Chesnutt, and Southern Undeadness”</w:t>
      </w:r>
      <w:r w:rsidR="00551E51">
        <w:rPr>
          <w:b/>
        </w:rPr>
        <w:t xml:space="preserve"> </w:t>
      </w:r>
      <w:r w:rsidR="00966B56">
        <w:rPr>
          <w:b/>
        </w:rPr>
        <w:t xml:space="preserve">and </w:t>
      </w:r>
      <w:r w:rsidR="00966B56">
        <w:rPr>
          <w:b/>
        </w:rPr>
        <w:t xml:space="preserve">“South to a Red Place” </w:t>
      </w:r>
      <w:r w:rsidR="00551E51">
        <w:rPr>
          <w:b/>
        </w:rPr>
        <w:t xml:space="preserve">from </w:t>
      </w:r>
      <w:r w:rsidR="00551E51" w:rsidRPr="00551E51">
        <w:rPr>
          <w:b/>
          <w:i/>
        </w:rPr>
        <w:t>Undead Souths</w:t>
      </w:r>
    </w:p>
    <w:p w14:paraId="1F1FF8CE" w14:textId="1BB24F01" w:rsidR="008E3F0E" w:rsidRPr="00FB76AC" w:rsidRDefault="008E3F0E" w:rsidP="008E3F0E">
      <w:pPr>
        <w:ind w:left="720" w:hanging="360"/>
      </w:pPr>
      <w:r>
        <w:rPr>
          <w:b/>
        </w:rPr>
        <w:t>Patricia Yaeger,</w:t>
      </w:r>
      <w:r w:rsidRPr="0098334D">
        <w:rPr>
          <w:b/>
        </w:rPr>
        <w:t xml:space="preserve"> “Southern Women Writers: A Confederacy of Water Moc</w:t>
      </w:r>
      <w:r>
        <w:rPr>
          <w:b/>
        </w:rPr>
        <w:t>ca</w:t>
      </w:r>
      <w:r w:rsidRPr="0098334D">
        <w:rPr>
          <w:b/>
        </w:rPr>
        <w:t xml:space="preserve">sins,” from </w:t>
      </w:r>
      <w:r w:rsidRPr="0098334D">
        <w:rPr>
          <w:b/>
          <w:i/>
        </w:rPr>
        <w:t>Dirt and Desire: Reconstructing Southern Women’s Writing</w:t>
      </w:r>
      <w:r w:rsidRPr="0098334D">
        <w:rPr>
          <w:b/>
        </w:rPr>
        <w:t>, pp. 1-27.</w:t>
      </w:r>
    </w:p>
    <w:p w14:paraId="11561D51" w14:textId="77777777" w:rsidR="00972AD9" w:rsidRDefault="00972AD9" w:rsidP="004461CD">
      <w:pPr>
        <w:ind w:left="360" w:hanging="360"/>
        <w:rPr>
          <w:b/>
        </w:rPr>
      </w:pPr>
    </w:p>
    <w:p w14:paraId="0D85DAFB" w14:textId="010741E2" w:rsidR="00FE1077" w:rsidRPr="00FC398A" w:rsidRDefault="00FE1077">
      <w:pPr>
        <w:rPr>
          <w:b/>
          <w:sz w:val="28"/>
          <w:szCs w:val="28"/>
        </w:rPr>
      </w:pPr>
    </w:p>
    <w:sectPr w:rsidR="00FE1077" w:rsidRPr="00FC398A" w:rsidSect="004B54F4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F48C6" w14:textId="77777777" w:rsidR="00730FAF" w:rsidRDefault="00730FAF" w:rsidP="00085C5A">
      <w:r>
        <w:separator/>
      </w:r>
    </w:p>
  </w:endnote>
  <w:endnote w:type="continuationSeparator" w:id="0">
    <w:p w14:paraId="1AAA79F6" w14:textId="77777777" w:rsidR="00730FAF" w:rsidRDefault="00730FAF" w:rsidP="000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742FD" w14:textId="77777777" w:rsidR="00730FAF" w:rsidRDefault="00730FAF" w:rsidP="00085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B0ABA" w14:textId="77777777" w:rsidR="00730FAF" w:rsidRDefault="00730FAF" w:rsidP="00085C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EA8D" w14:textId="77777777" w:rsidR="00730FAF" w:rsidRDefault="00730FAF" w:rsidP="00085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4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3FEF6" w14:textId="77777777" w:rsidR="00730FAF" w:rsidRDefault="00730FAF" w:rsidP="00085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29CA3" w14:textId="77777777" w:rsidR="00730FAF" w:rsidRDefault="00730FAF" w:rsidP="00085C5A">
      <w:r>
        <w:separator/>
      </w:r>
    </w:p>
  </w:footnote>
  <w:footnote w:type="continuationSeparator" w:id="0">
    <w:p w14:paraId="5E4C2E38" w14:textId="77777777" w:rsidR="00730FAF" w:rsidRDefault="00730FAF" w:rsidP="00085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27E2" w14:textId="0D99E330" w:rsidR="00C93752" w:rsidRDefault="00C93752" w:rsidP="00C93752">
    <w:pPr>
      <w:pStyle w:val="Header"/>
      <w:jc w:val="center"/>
    </w:pPr>
    <w:r>
      <w:t>GENERAL INFO ABOUT ENGLISH 116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AE0"/>
    <w:multiLevelType w:val="hybridMultilevel"/>
    <w:tmpl w:val="6604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489"/>
    <w:multiLevelType w:val="hybridMultilevel"/>
    <w:tmpl w:val="BD6EA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AE0"/>
    <w:multiLevelType w:val="hybridMultilevel"/>
    <w:tmpl w:val="6CF6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B"/>
    <w:rsid w:val="0000648F"/>
    <w:rsid w:val="000249BC"/>
    <w:rsid w:val="00036E2D"/>
    <w:rsid w:val="000460C1"/>
    <w:rsid w:val="000506CC"/>
    <w:rsid w:val="000618CC"/>
    <w:rsid w:val="00064E48"/>
    <w:rsid w:val="00065EBB"/>
    <w:rsid w:val="000664C2"/>
    <w:rsid w:val="000737BE"/>
    <w:rsid w:val="00085C5A"/>
    <w:rsid w:val="000877BD"/>
    <w:rsid w:val="00091888"/>
    <w:rsid w:val="00097A4D"/>
    <w:rsid w:val="00097A8E"/>
    <w:rsid w:val="000A0D0C"/>
    <w:rsid w:val="000A3341"/>
    <w:rsid w:val="000A6778"/>
    <w:rsid w:val="000B22A3"/>
    <w:rsid w:val="000B41AA"/>
    <w:rsid w:val="000D1E99"/>
    <w:rsid w:val="000D3DF0"/>
    <w:rsid w:val="000E3B54"/>
    <w:rsid w:val="000E74A5"/>
    <w:rsid w:val="000E7D79"/>
    <w:rsid w:val="000F03E8"/>
    <w:rsid w:val="000F0FD6"/>
    <w:rsid w:val="00100BC4"/>
    <w:rsid w:val="00102B45"/>
    <w:rsid w:val="00102B97"/>
    <w:rsid w:val="00116D24"/>
    <w:rsid w:val="00121EFE"/>
    <w:rsid w:val="001304FE"/>
    <w:rsid w:val="00132BB7"/>
    <w:rsid w:val="00147E2F"/>
    <w:rsid w:val="00161E62"/>
    <w:rsid w:val="00162A5A"/>
    <w:rsid w:val="001A5D83"/>
    <w:rsid w:val="001A7B98"/>
    <w:rsid w:val="001B3978"/>
    <w:rsid w:val="001B738F"/>
    <w:rsid w:val="001C57E9"/>
    <w:rsid w:val="001D44E7"/>
    <w:rsid w:val="001E59C2"/>
    <w:rsid w:val="00200DF2"/>
    <w:rsid w:val="00244983"/>
    <w:rsid w:val="002649E5"/>
    <w:rsid w:val="0026733A"/>
    <w:rsid w:val="0027448C"/>
    <w:rsid w:val="002A2924"/>
    <w:rsid w:val="002A38F0"/>
    <w:rsid w:val="002B47CD"/>
    <w:rsid w:val="002C777D"/>
    <w:rsid w:val="002E72AD"/>
    <w:rsid w:val="002E79B6"/>
    <w:rsid w:val="00305D6F"/>
    <w:rsid w:val="00320D1D"/>
    <w:rsid w:val="003435B8"/>
    <w:rsid w:val="003447F6"/>
    <w:rsid w:val="003562ED"/>
    <w:rsid w:val="00375C5E"/>
    <w:rsid w:val="00386366"/>
    <w:rsid w:val="00394FF3"/>
    <w:rsid w:val="003A36A7"/>
    <w:rsid w:val="003A644A"/>
    <w:rsid w:val="003A7495"/>
    <w:rsid w:val="003C312E"/>
    <w:rsid w:val="003D118E"/>
    <w:rsid w:val="003D3528"/>
    <w:rsid w:val="003D4A97"/>
    <w:rsid w:val="003E14C7"/>
    <w:rsid w:val="003E3978"/>
    <w:rsid w:val="003E7F90"/>
    <w:rsid w:val="003F0E7D"/>
    <w:rsid w:val="003F73E4"/>
    <w:rsid w:val="004025B1"/>
    <w:rsid w:val="00430256"/>
    <w:rsid w:val="0044210A"/>
    <w:rsid w:val="00442A81"/>
    <w:rsid w:val="004461CD"/>
    <w:rsid w:val="00451F4D"/>
    <w:rsid w:val="00463C1B"/>
    <w:rsid w:val="0046746F"/>
    <w:rsid w:val="00471784"/>
    <w:rsid w:val="004820B9"/>
    <w:rsid w:val="00482B4E"/>
    <w:rsid w:val="004928EA"/>
    <w:rsid w:val="004954FC"/>
    <w:rsid w:val="004A5DF6"/>
    <w:rsid w:val="004B54F4"/>
    <w:rsid w:val="004C31EC"/>
    <w:rsid w:val="004C621D"/>
    <w:rsid w:val="004E08B8"/>
    <w:rsid w:val="004E7653"/>
    <w:rsid w:val="004E7EA6"/>
    <w:rsid w:val="00500473"/>
    <w:rsid w:val="005063BE"/>
    <w:rsid w:val="005128DF"/>
    <w:rsid w:val="00524860"/>
    <w:rsid w:val="00545097"/>
    <w:rsid w:val="00551E51"/>
    <w:rsid w:val="00553E11"/>
    <w:rsid w:val="005651BA"/>
    <w:rsid w:val="00571061"/>
    <w:rsid w:val="00577FC6"/>
    <w:rsid w:val="00592B86"/>
    <w:rsid w:val="005B2111"/>
    <w:rsid w:val="005D0299"/>
    <w:rsid w:val="005D14AB"/>
    <w:rsid w:val="005E163F"/>
    <w:rsid w:val="005E1717"/>
    <w:rsid w:val="00603D2C"/>
    <w:rsid w:val="00610E57"/>
    <w:rsid w:val="006168DA"/>
    <w:rsid w:val="006234DD"/>
    <w:rsid w:val="00654886"/>
    <w:rsid w:val="00666646"/>
    <w:rsid w:val="00670E41"/>
    <w:rsid w:val="00672477"/>
    <w:rsid w:val="006A3881"/>
    <w:rsid w:val="006C12F3"/>
    <w:rsid w:val="006E0844"/>
    <w:rsid w:val="006F0698"/>
    <w:rsid w:val="006F7258"/>
    <w:rsid w:val="00711D7A"/>
    <w:rsid w:val="00720C86"/>
    <w:rsid w:val="007228BA"/>
    <w:rsid w:val="00724538"/>
    <w:rsid w:val="00730FAF"/>
    <w:rsid w:val="007346E0"/>
    <w:rsid w:val="007366D7"/>
    <w:rsid w:val="00736D3D"/>
    <w:rsid w:val="007432DB"/>
    <w:rsid w:val="00745275"/>
    <w:rsid w:val="00746DCE"/>
    <w:rsid w:val="00755888"/>
    <w:rsid w:val="007651D1"/>
    <w:rsid w:val="00776615"/>
    <w:rsid w:val="00776752"/>
    <w:rsid w:val="007819A4"/>
    <w:rsid w:val="00782BB9"/>
    <w:rsid w:val="0078548F"/>
    <w:rsid w:val="0078782D"/>
    <w:rsid w:val="007C55BB"/>
    <w:rsid w:val="007D042B"/>
    <w:rsid w:val="007D30A9"/>
    <w:rsid w:val="007E1E89"/>
    <w:rsid w:val="007E341D"/>
    <w:rsid w:val="0080048C"/>
    <w:rsid w:val="00810B70"/>
    <w:rsid w:val="00811ED1"/>
    <w:rsid w:val="00822D2B"/>
    <w:rsid w:val="008258C7"/>
    <w:rsid w:val="00843CEA"/>
    <w:rsid w:val="00850501"/>
    <w:rsid w:val="0088229C"/>
    <w:rsid w:val="0089452B"/>
    <w:rsid w:val="008A41FD"/>
    <w:rsid w:val="008A72EF"/>
    <w:rsid w:val="008B6B4B"/>
    <w:rsid w:val="008E3F0E"/>
    <w:rsid w:val="008F21D9"/>
    <w:rsid w:val="008F6B3B"/>
    <w:rsid w:val="00900941"/>
    <w:rsid w:val="0091337B"/>
    <w:rsid w:val="009150EB"/>
    <w:rsid w:val="0092093E"/>
    <w:rsid w:val="00926B92"/>
    <w:rsid w:val="00960A76"/>
    <w:rsid w:val="009613B0"/>
    <w:rsid w:val="00966B56"/>
    <w:rsid w:val="00972AD9"/>
    <w:rsid w:val="009770A0"/>
    <w:rsid w:val="00992F60"/>
    <w:rsid w:val="009A0DA0"/>
    <w:rsid w:val="009A3811"/>
    <w:rsid w:val="009A736A"/>
    <w:rsid w:val="009D5221"/>
    <w:rsid w:val="009F468A"/>
    <w:rsid w:val="00A10D1A"/>
    <w:rsid w:val="00A16000"/>
    <w:rsid w:val="00A405EB"/>
    <w:rsid w:val="00A50A98"/>
    <w:rsid w:val="00A56BE3"/>
    <w:rsid w:val="00A6685B"/>
    <w:rsid w:val="00A702EF"/>
    <w:rsid w:val="00A9246A"/>
    <w:rsid w:val="00A92D35"/>
    <w:rsid w:val="00AC21B0"/>
    <w:rsid w:val="00AC7E10"/>
    <w:rsid w:val="00AD477D"/>
    <w:rsid w:val="00AD6F52"/>
    <w:rsid w:val="00AD71A8"/>
    <w:rsid w:val="00AE67B4"/>
    <w:rsid w:val="00B05FC3"/>
    <w:rsid w:val="00B1016C"/>
    <w:rsid w:val="00B30DDE"/>
    <w:rsid w:val="00B3112B"/>
    <w:rsid w:val="00B3450F"/>
    <w:rsid w:val="00B47E7F"/>
    <w:rsid w:val="00B52C5B"/>
    <w:rsid w:val="00BA1542"/>
    <w:rsid w:val="00BF4D91"/>
    <w:rsid w:val="00BF7DDF"/>
    <w:rsid w:val="00C34429"/>
    <w:rsid w:val="00C348E4"/>
    <w:rsid w:val="00C46A31"/>
    <w:rsid w:val="00C55F07"/>
    <w:rsid w:val="00C67FA4"/>
    <w:rsid w:val="00C71915"/>
    <w:rsid w:val="00C93752"/>
    <w:rsid w:val="00C96BD9"/>
    <w:rsid w:val="00CA25BA"/>
    <w:rsid w:val="00CA7051"/>
    <w:rsid w:val="00CB0B31"/>
    <w:rsid w:val="00CC08EF"/>
    <w:rsid w:val="00CC2684"/>
    <w:rsid w:val="00CD5583"/>
    <w:rsid w:val="00D34A98"/>
    <w:rsid w:val="00D34C60"/>
    <w:rsid w:val="00D37158"/>
    <w:rsid w:val="00D42FB0"/>
    <w:rsid w:val="00D65077"/>
    <w:rsid w:val="00D658C7"/>
    <w:rsid w:val="00D67A81"/>
    <w:rsid w:val="00D852B4"/>
    <w:rsid w:val="00D872E1"/>
    <w:rsid w:val="00D93749"/>
    <w:rsid w:val="00D97F2B"/>
    <w:rsid w:val="00DA2FDF"/>
    <w:rsid w:val="00DA361F"/>
    <w:rsid w:val="00DA6FA1"/>
    <w:rsid w:val="00DB0B83"/>
    <w:rsid w:val="00DB2844"/>
    <w:rsid w:val="00DC27AE"/>
    <w:rsid w:val="00DE6EA5"/>
    <w:rsid w:val="00E152CB"/>
    <w:rsid w:val="00E2119B"/>
    <w:rsid w:val="00E27EA9"/>
    <w:rsid w:val="00E322F8"/>
    <w:rsid w:val="00E46072"/>
    <w:rsid w:val="00E5490B"/>
    <w:rsid w:val="00E726BF"/>
    <w:rsid w:val="00E85419"/>
    <w:rsid w:val="00E86627"/>
    <w:rsid w:val="00E94328"/>
    <w:rsid w:val="00EA1BCB"/>
    <w:rsid w:val="00EC3E91"/>
    <w:rsid w:val="00EC3FFF"/>
    <w:rsid w:val="00EC533A"/>
    <w:rsid w:val="00EC7C5F"/>
    <w:rsid w:val="00ED1B07"/>
    <w:rsid w:val="00ED2073"/>
    <w:rsid w:val="00ED2328"/>
    <w:rsid w:val="00F149C8"/>
    <w:rsid w:val="00F14F17"/>
    <w:rsid w:val="00F203DD"/>
    <w:rsid w:val="00F23C8D"/>
    <w:rsid w:val="00F3033D"/>
    <w:rsid w:val="00F46737"/>
    <w:rsid w:val="00F5167B"/>
    <w:rsid w:val="00F64E61"/>
    <w:rsid w:val="00F8166E"/>
    <w:rsid w:val="00F85A4A"/>
    <w:rsid w:val="00F87EE6"/>
    <w:rsid w:val="00F87F39"/>
    <w:rsid w:val="00FB59E1"/>
    <w:rsid w:val="00FC398A"/>
    <w:rsid w:val="00FC411F"/>
    <w:rsid w:val="00FD0D74"/>
    <w:rsid w:val="00FE1077"/>
    <w:rsid w:val="00FE2765"/>
    <w:rsid w:val="00FE5F0B"/>
    <w:rsid w:val="00FE6E59"/>
    <w:rsid w:val="00FF457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AC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5A"/>
  </w:style>
  <w:style w:type="character" w:styleId="PageNumber">
    <w:name w:val="page number"/>
    <w:basedOn w:val="DefaultParagraphFont"/>
    <w:uiPriority w:val="99"/>
    <w:semiHidden/>
    <w:unhideWhenUsed/>
    <w:rsid w:val="00085C5A"/>
  </w:style>
  <w:style w:type="character" w:styleId="Hyperlink">
    <w:name w:val="Hyperlink"/>
    <w:basedOn w:val="DefaultParagraphFont"/>
    <w:uiPriority w:val="99"/>
    <w:unhideWhenUsed/>
    <w:rsid w:val="00A70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25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303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3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5A"/>
  </w:style>
  <w:style w:type="character" w:styleId="PageNumber">
    <w:name w:val="page number"/>
    <w:basedOn w:val="DefaultParagraphFont"/>
    <w:uiPriority w:val="99"/>
    <w:semiHidden/>
    <w:unhideWhenUsed/>
    <w:rsid w:val="00085C5A"/>
  </w:style>
  <w:style w:type="character" w:styleId="Hyperlink">
    <w:name w:val="Hyperlink"/>
    <w:basedOn w:val="DefaultParagraphFont"/>
    <w:uiPriority w:val="99"/>
    <w:unhideWhenUsed/>
    <w:rsid w:val="00A70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25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303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3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yonce.com/formation/" TargetMode="External"/><Relationship Id="rId9" Type="http://schemas.openxmlformats.org/officeDocument/2006/relationships/hyperlink" Target="http://genius.com/Beyonce-formation-lyric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1104</Words>
  <Characters>6296</Characters>
  <Application>Microsoft Macintosh Word</Application>
  <DocSecurity>0</DocSecurity>
  <Lines>52</Lines>
  <Paragraphs>14</Paragraphs>
  <ScaleCrop>false</ScaleCrop>
  <Company>English Dept / Swarthmore College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Information Technology</cp:lastModifiedBy>
  <cp:revision>5</cp:revision>
  <dcterms:created xsi:type="dcterms:W3CDTF">2016-08-17T14:40:00Z</dcterms:created>
  <dcterms:modified xsi:type="dcterms:W3CDTF">2016-08-17T15:55:00Z</dcterms:modified>
</cp:coreProperties>
</file>